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167"/>
        <w:pBdr/>
        <w:spacing/>
        <w:ind/>
        <w:jc w:val="center"/>
        <w:rPr>
          <w:rFonts w:ascii="Times New Roman" w:hAnsi="Times New Roman"/>
          <w:b/>
          <w:sz w:val="24"/>
          <w:szCs w:val="24"/>
        </w:rPr>
      </w:pPr>
      <w:r>
        <w:rPr>
          <w:rFonts w:ascii="Times New Roman" w:hAnsi="Times New Roman"/>
          <w:b/>
          <w:sz w:val="24"/>
          <w:szCs w:val="24"/>
          <w:lang w:eastAsia="pt-BR"/>
        </w:rPr>
        <mc:AlternateContent>
          <mc:Choice Requires="wpg">
            <w:drawing>
              <wp:inline xmlns:wp="http://schemas.openxmlformats.org/drawingml/2006/wordprocessingDrawing" distT="0" distB="0" distL="0" distR="0">
                <wp:extent cx="687037" cy="714510"/>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5"/>
                        <a:stretch/>
                      </pic:blipFill>
                      <pic:spPr bwMode="auto">
                        <a:xfrm>
                          <a:off x="0" y="0"/>
                          <a:ext cx="687037" cy="71451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54.10pt;height:56.26pt;mso-wrap-distance-left:0.00pt;mso-wrap-distance-top:0.00pt;mso-wrap-distance-right:0.00pt;mso-wrap-distance-bottom:0.00pt;z-index:1;" stroked="f">
                <v:imagedata r:id="rId15" o:title=""/>
                <o:lock v:ext="edit" rotation="t"/>
              </v:shape>
            </w:pict>
          </mc:Fallback>
        </mc:AlternateContent>
      </w:r>
      <w:r>
        <w:rPr>
          <w:rFonts w:ascii="Times New Roman" w:hAnsi="Times New Roman"/>
          <w:b/>
          <w:sz w:val="24"/>
          <w:szCs w:val="24"/>
        </w:rPr>
      </w:r>
      <w:r>
        <w:rPr>
          <w:rFonts w:ascii="Times New Roman" w:hAnsi="Times New Roman"/>
          <w:b/>
          <w:sz w:val="24"/>
          <w:szCs w:val="24"/>
        </w:rPr>
      </w:r>
    </w:p>
    <w:p>
      <w:pPr>
        <w:pStyle w:val="1167"/>
        <w:pBdr/>
        <w:spacing w:after="0" w:before="0"/>
        <w:ind/>
        <w:jc w:val="center"/>
        <w:rPr>
          <w:rFonts w:ascii="Times New Roman" w:hAnsi="Times New Roman"/>
          <w:b/>
          <w:sz w:val="24"/>
          <w:szCs w:val="24"/>
        </w:rPr>
      </w:pPr>
      <w:r>
        <w:rPr>
          <w:rFonts w:ascii="Times New Roman" w:hAnsi="Times New Roman"/>
          <w:b/>
          <w:sz w:val="24"/>
          <w:szCs w:val="24"/>
        </w:rPr>
        <w:t xml:space="preserve">MINISTÉRIO DA DEFESA</w:t>
      </w:r>
      <w:r>
        <w:rPr>
          <w:rFonts w:ascii="Times New Roman" w:hAnsi="Times New Roman"/>
          <w:b/>
          <w:sz w:val="24"/>
          <w:szCs w:val="24"/>
        </w:rPr>
      </w:r>
      <w:r>
        <w:rPr>
          <w:rFonts w:ascii="Times New Roman" w:hAnsi="Times New Roman"/>
          <w:b/>
          <w:sz w:val="24"/>
          <w:szCs w:val="24"/>
        </w:rPr>
      </w:r>
    </w:p>
    <w:p>
      <w:pPr>
        <w:pBdr/>
        <w:spacing/>
        <w:ind/>
        <w:jc w:val="center"/>
        <w:rPr>
          <w:rFonts w:ascii="Times New Roman" w:hAnsi="Times New Roman" w:cs="Times New Roman"/>
          <w:b/>
        </w:rPr>
      </w:pPr>
      <w:r>
        <w:rPr>
          <w:rFonts w:ascii="Times New Roman" w:hAnsi="Times New Roman" w:cs="Times New Roman"/>
          <w:b/>
        </w:rPr>
        <w:t xml:space="preserve">EXÉRCITO BRASILEIRO</w:t>
      </w:r>
      <w:r>
        <w:rPr>
          <w:rFonts w:ascii="Times New Roman" w:hAnsi="Times New Roman" w:cs="Times New Roman"/>
          <w:b/>
        </w:rPr>
      </w:r>
      <w:r>
        <w:rPr>
          <w:rFonts w:ascii="Times New Roman" w:hAnsi="Times New Roman" w:cs="Times New Roman"/>
          <w:b/>
        </w:rPr>
      </w:r>
    </w:p>
    <w:p>
      <w:pPr>
        <w:pBdr/>
        <w:spacing/>
        <w:ind/>
        <w:jc w:val="center"/>
        <w:rPr>
          <w:rFonts w:ascii="Times New Roman" w:hAnsi="Times New Roman" w:cs="Times New Roman"/>
          <w:b/>
        </w:rPr>
      </w:pPr>
      <w:r>
        <w:rPr>
          <w:rFonts w:ascii="Times New Roman" w:hAnsi="Times New Roman" w:cs="Times New Roman"/>
          <w:b/>
        </w:rPr>
        <w:t xml:space="preserve">COLOG - BA AP LOG EX</w:t>
      </w:r>
      <w:r>
        <w:rPr>
          <w:rFonts w:ascii="Times New Roman" w:hAnsi="Times New Roman" w:cs="Times New Roman"/>
          <w:b/>
        </w:rPr>
      </w:r>
      <w:r>
        <w:rPr>
          <w:rFonts w:ascii="Times New Roman" w:hAnsi="Times New Roman" w:cs="Times New Roman"/>
          <w:b/>
        </w:rPr>
      </w:r>
    </w:p>
    <w:p>
      <w:pPr>
        <w:pBdr/>
        <w:spacing/>
        <w:ind/>
        <w:jc w:val="center"/>
        <w:rPr>
          <w:rFonts w:ascii="Times New Roman" w:hAnsi="Times New Roman" w:cs="Times New Roman"/>
          <w:b/>
        </w:rPr>
      </w:pPr>
      <w:r>
        <w:rPr>
          <w:rFonts w:ascii="Times New Roman" w:hAnsi="Times New Roman" w:cs="Times New Roman"/>
          <w:b/>
        </w:rPr>
        <w:t xml:space="preserve">DEPÓSITO CENTRAL DE MUNIÇÃO</w:t>
      </w:r>
      <w:r>
        <w:rPr>
          <w:rFonts w:ascii="Times New Roman" w:hAnsi="Times New Roman" w:cs="Times New Roman"/>
          <w:b/>
        </w:rPr>
      </w:r>
      <w:r>
        <w:rPr>
          <w:rFonts w:ascii="Times New Roman" w:hAnsi="Times New Roman" w:cs="Times New Roman"/>
          <w:b/>
        </w:rPr>
      </w:r>
    </w:p>
    <w:p>
      <w:pPr>
        <w:pBdr/>
        <w:spacing/>
        <w:ind/>
        <w:jc w:val="center"/>
        <w:rPr>
          <w:rFonts w:ascii="Times New Roman" w:hAnsi="Times New Roman" w:cs="Times New Roman"/>
          <w:b/>
          <w:bCs/>
        </w:rPr>
      </w:pPr>
      <w:r>
        <w:rPr>
          <w:rFonts w:ascii="Times New Roman" w:hAnsi="Times New Roman" w:cs="Times New Roman"/>
          <w:b/>
        </w:rPr>
        <w:t xml:space="preserve"> </w:t>
      </w:r>
      <w:r>
        <w:rPr>
          <w:rFonts w:ascii="Times New Roman" w:hAnsi="Times New Roman" w:cs="Times New Roman"/>
          <w:b/>
          <w:bCs/>
        </w:rPr>
        <w:t xml:space="preserve">(D C M B / 1918)</w:t>
      </w:r>
      <w:r>
        <w:rPr>
          <w:rFonts w:ascii="Times New Roman" w:hAnsi="Times New Roman" w:cs="Times New Roman"/>
          <w:b/>
          <w:bCs/>
        </w:rPr>
      </w:r>
      <w:r>
        <w:rPr>
          <w:rFonts w:ascii="Times New Roman" w:hAnsi="Times New Roman" w:cs="Times New Roman"/>
          <w:b/>
          <w:bCs/>
        </w:rPr>
      </w:r>
    </w:p>
    <w:p>
      <w:pPr>
        <w:pBdr/>
        <w:spacing/>
        <w:ind/>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Bdr/>
        <w:spacing/>
        <w:ind/>
        <w:jc w:val="center"/>
        <w:rPr>
          <w:rFonts w:ascii="Times New Roman" w:hAnsi="Times New Roman" w:cs="Times New Roman"/>
          <w:b/>
          <w:bCs/>
          <w:color w:val="5b5b5f"/>
        </w:rPr>
      </w:pPr>
      <w:r>
        <w:rPr>
          <w:rFonts w:ascii="Times New Roman" w:hAnsi="Times New Roman" w:cs="Times New Roman"/>
          <w:b/>
          <w:bCs/>
          <w:color w:val="000000" w:themeColor="text1"/>
        </w:rPr>
        <w:t xml:space="preserve">AVISO DE CONTRATAÇÃO DIRETA   Nº 90004/2024</w:t>
      </w:r>
      <w:r>
        <w:rPr>
          <w:rFonts w:ascii="Times New Roman" w:hAnsi="Times New Roman" w:cs="Times New Roman"/>
          <w:b/>
          <w:bCs/>
          <w:color w:val="5b5b5f"/>
        </w:rPr>
      </w:r>
      <w:r>
        <w:rPr>
          <w:rFonts w:ascii="Times New Roman" w:hAnsi="Times New Roman" w:cs="Times New Roman"/>
          <w:b/>
          <w:bCs/>
          <w:color w:val="5b5b5f"/>
        </w:rPr>
      </w:r>
    </w:p>
    <w:p>
      <w:pPr>
        <w:pBdr/>
        <w:spacing/>
        <w:ind/>
        <w:jc w:val="center"/>
        <w:rPr>
          <w:rFonts w:ascii="Times New Roman" w:hAnsi="Times New Roman" w:cs="Times New Roman"/>
          <w:b/>
          <w:bCs/>
          <w:i/>
          <w:iCs/>
          <w:color w:val="ff0000"/>
        </w:rPr>
      </w:pPr>
      <w:r>
        <w:rPr>
          <w:rFonts w:ascii="Times New Roman" w:hAnsi="Times New Roman" w:cs="Times New Roman"/>
          <w:b/>
          <w:bCs/>
          <w:i/>
          <w:iCs/>
          <w:color w:val="ff0000"/>
        </w:rPr>
      </w:r>
      <w:r>
        <w:rPr>
          <w:rFonts w:ascii="Times New Roman" w:hAnsi="Times New Roman" w:cs="Times New Roman"/>
          <w:b/>
          <w:bCs/>
          <w:i/>
          <w:iCs/>
          <w:color w:val="ff0000"/>
        </w:rPr>
      </w:r>
      <w:r>
        <w:rPr>
          <w:rFonts w:ascii="Times New Roman" w:hAnsi="Times New Roman" w:cs="Times New Roman"/>
          <w:b/>
          <w:bCs/>
          <w:i/>
          <w:iCs/>
          <w:color w:val="ff0000"/>
        </w:rPr>
      </w:r>
    </w:p>
    <w:p>
      <w:pPr>
        <w:pStyle w:val="1074"/>
        <w:pBdr/>
        <w:spacing/>
        <w:ind/>
        <w:rPr>
          <w:rFonts w:ascii="Times New Roman" w:hAnsi="Times New Roman" w:eastAsia="Arial" w:cs="Times New Roman"/>
          <w:sz w:val="24"/>
          <w:szCs w:val="24"/>
        </w:rPr>
      </w:pPr>
      <w:r/>
      <w:bookmarkStart w:id="0" w:name="_Hlk82471863"/>
      <w:r>
        <w:rPr>
          <w:rFonts w:ascii="Times New Roman" w:hAnsi="Times New Roman" w:cs="Times New Roman"/>
          <w:sz w:val="24"/>
          <w:szCs w:val="24"/>
        </w:rPr>
        <w:t xml:space="preserve">CONDIÇÕES GERAIS DA CONTRATAÇÃO</w:t>
      </w:r>
      <w:r>
        <w:rPr>
          <w:rFonts w:ascii="Times New Roman" w:hAnsi="Times New Roman" w:eastAsia="Arial" w:cs="Times New Roman"/>
          <w:sz w:val="24"/>
          <w:szCs w:val="24"/>
        </w:rPr>
      </w:r>
      <w:r>
        <w:rPr>
          <w:rFonts w:ascii="Times New Roman" w:hAnsi="Times New Roman" w:eastAsia="Arial" w:cs="Times New Roman"/>
          <w:sz w:val="24"/>
          <w:szCs w:val="24"/>
        </w:rPr>
      </w:r>
    </w:p>
    <w:p>
      <w:pPr>
        <w:pStyle w:val="1094"/>
        <w:pBdr/>
        <w:spacing/>
        <w:ind/>
        <w:rPr>
          <w:rFonts w:ascii="Times New Roman" w:hAnsi="Times New Roman" w:cs="Times New Roman"/>
          <w:b/>
          <w:bCs/>
          <w:sz w:val="24"/>
          <w:szCs w:val="24"/>
        </w:rPr>
      </w:pPr>
      <w:r>
        <w:rPr>
          <w:rFonts w:ascii="Times New Roman" w:hAnsi="Times New Roman" w:cs="Times New Roman"/>
          <w:color w:val="000000" w:themeColor="text1"/>
          <w:sz w:val="24"/>
          <w:szCs w:val="24"/>
        </w:rPr>
        <w:t xml:space="preserve">Aquisição de Máquina de Fusão de Fibra Óptica</w:t>
      </w:r>
      <w:r>
        <w:rPr>
          <w:rFonts w:ascii="Times New Roman" w:hAnsi="Times New Roman" w:cs="Times New Roman"/>
          <w:b/>
          <w:bCs/>
          <w:sz w:val="24"/>
          <w:szCs w:val="24"/>
        </w:rPr>
        <w:t xml:space="preserve">,</w:t>
      </w:r>
      <w:r>
        <w:rPr>
          <w:rFonts w:ascii="Times New Roman" w:hAnsi="Times New Roman" w:cs="Times New Roman"/>
          <w:sz w:val="24"/>
          <w:szCs w:val="24"/>
        </w:rPr>
        <w:t xml:space="preserve"> nos termos da tabela abaixo, conforme condições e exigências estabelecidas neste instrumento.</w:t>
      </w:r>
      <w:r>
        <w:rPr>
          <w:rFonts w:ascii="Times New Roman" w:hAnsi="Times New Roman" w:cs="Times New Roman"/>
          <w:b/>
          <w:bCs/>
          <w:sz w:val="24"/>
          <w:szCs w:val="24"/>
        </w:rPr>
      </w:r>
      <w:r>
        <w:rPr>
          <w:rFonts w:ascii="Times New Roman" w:hAnsi="Times New Roman" w:cs="Times New Roman"/>
          <w:b/>
          <w:bCs/>
          <w:sz w:val="24"/>
          <w:szCs w:val="24"/>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9"/>
        <w:gridCol w:w="3546"/>
        <w:gridCol w:w="1272"/>
        <w:gridCol w:w="1134"/>
        <w:gridCol w:w="1559"/>
        <w:gridCol w:w="1418"/>
      </w:tblGrid>
      <w:tr>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709" w:type="dxa"/>
            <w:textDirection w:val="lrTb"/>
            <w:noWrap w:val="false"/>
          </w:tcPr>
          <w:p>
            <w:pPr>
              <w:widowControl w:val="false"/>
              <w:pBdr/>
              <w:spacing w:after="288" w:before="120" w:line="312" w:lineRule="auto"/>
              <w:ind/>
              <w:jc w:val="center"/>
              <w:rPr>
                <w:rFonts w:ascii="Times New Roman" w:hAnsi="Times New Roman" w:eastAsia="Arial" w:cs="Times New Roman"/>
                <w:b/>
                <w:bCs/>
                <w:color w:val="000000"/>
                <w:sz w:val="20"/>
                <w:szCs w:val="20"/>
              </w:rPr>
            </w:pPr>
            <w:r>
              <w:rPr>
                <w:rFonts w:ascii="Times New Roman" w:hAnsi="Times New Roman" w:eastAsia="Arial" w:cs="Times New Roman"/>
                <w:b/>
                <w:bCs/>
                <w:color w:val="000000" w:themeColor="text1"/>
                <w:sz w:val="20"/>
                <w:szCs w:val="20"/>
              </w:rPr>
              <w:t xml:space="preserve">ITEM</w:t>
            </w:r>
            <w:r>
              <w:rPr>
                <w:rFonts w:ascii="Times New Roman" w:hAnsi="Times New Roman" w:eastAsia="Arial" w:cs="Times New Roman"/>
                <w:b/>
                <w:bCs/>
                <w:color w:val="000000"/>
                <w:sz w:val="20"/>
                <w:szCs w:val="20"/>
              </w:rPr>
            </w:r>
            <w:r>
              <w:rPr>
                <w:rFonts w:ascii="Times New Roman" w:hAnsi="Times New Roman" w:eastAsia="Arial" w:cs="Times New Roman"/>
                <w:b/>
                <w:bCs/>
                <w:color w:val="000000"/>
                <w:sz w:val="20"/>
                <w:szCs w:val="20"/>
              </w:rPr>
            </w:r>
          </w:p>
          <w:p>
            <w:pPr>
              <w:widowControl w:val="false"/>
              <w:pBdr/>
              <w:spacing w:after="288" w:before="120" w:line="312" w:lineRule="auto"/>
              <w:ind/>
              <w:jc w:val="center"/>
              <w:rPr>
                <w:rFonts w:ascii="Times New Roman" w:hAnsi="Times New Roman" w:eastAsia="Arial" w:cs="Times New Roman"/>
                <w:b/>
                <w:bCs/>
                <w:color w:val="000000"/>
                <w:sz w:val="20"/>
                <w:szCs w:val="20"/>
              </w:rPr>
            </w:pPr>
            <w:r>
              <w:rPr>
                <w:rFonts w:ascii="Times New Roman" w:hAnsi="Times New Roman" w:eastAsia="Arial" w:cs="Times New Roman"/>
                <w:b/>
                <w:bCs/>
                <w:color w:val="000000"/>
                <w:sz w:val="20"/>
                <w:szCs w:val="20"/>
              </w:rPr>
            </w:r>
            <w:r>
              <w:rPr>
                <w:rFonts w:ascii="Times New Roman" w:hAnsi="Times New Roman" w:eastAsia="Arial" w:cs="Times New Roman"/>
                <w:b/>
                <w:bCs/>
                <w:color w:val="000000"/>
                <w:sz w:val="20"/>
                <w:szCs w:val="20"/>
              </w:rPr>
            </w:r>
            <w:r>
              <w:rPr>
                <w:rFonts w:ascii="Times New Roman" w:hAnsi="Times New Roman" w:eastAsia="Arial" w:cs="Times New Roman"/>
                <w:b/>
                <w:bCs/>
                <w:color w:val="000000"/>
                <w:sz w:val="20"/>
                <w:szCs w:val="2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3546" w:type="dxa"/>
            <w:textDirection w:val="lrTb"/>
            <w:noWrap w:val="false"/>
          </w:tcPr>
          <w:p>
            <w:pPr>
              <w:widowControl w:val="false"/>
              <w:pBdr/>
              <w:spacing w:after="288" w:before="120" w:line="312" w:lineRule="auto"/>
              <w:ind/>
              <w:jc w:val="center"/>
              <w:rPr>
                <w:rFonts w:ascii="Times New Roman" w:hAnsi="Times New Roman" w:eastAsia="Arial" w:cs="Times New Roman"/>
                <w:color w:val="000000"/>
                <w:sz w:val="20"/>
                <w:szCs w:val="20"/>
              </w:rPr>
            </w:pPr>
            <w:r>
              <w:rPr>
                <w:rFonts w:ascii="Times New Roman" w:hAnsi="Times New Roman" w:eastAsia="Arial" w:cs="Times New Roman"/>
                <w:b/>
                <w:bCs/>
                <w:color w:val="000000" w:themeColor="text1"/>
                <w:sz w:val="20"/>
                <w:szCs w:val="20"/>
                <w:highlight w:val="none"/>
              </w:rPr>
            </w:r>
            <w:r>
              <w:rPr>
                <w:rFonts w:ascii="Times New Roman" w:hAnsi="Times New Roman" w:eastAsia="Arial" w:cs="Times New Roman"/>
                <w:color w:val="000000"/>
                <w:sz w:val="20"/>
                <w:szCs w:val="20"/>
              </w:rPr>
            </w:r>
            <w:r>
              <w:rPr>
                <w:rFonts w:ascii="Times New Roman" w:hAnsi="Times New Roman" w:eastAsia="Arial" w:cs="Times New Roman"/>
                <w:color w:val="000000"/>
                <w:sz w:val="20"/>
                <w:szCs w:val="20"/>
              </w:rPr>
            </w:r>
          </w:p>
          <w:p>
            <w:pPr>
              <w:widowControl w:val="false"/>
              <w:pBdr/>
              <w:spacing w:after="288" w:before="120" w:line="312" w:lineRule="auto"/>
              <w:ind/>
              <w:jc w:val="center"/>
              <w:rPr>
                <w:rFonts w:ascii="Times New Roman" w:hAnsi="Times New Roman" w:eastAsia="Arial" w:cs="Times New Roman"/>
                <w:b/>
                <w:bCs/>
                <w:color w:val="000000" w:themeColor="text1"/>
                <w:sz w:val="20"/>
                <w:szCs w:val="20"/>
                <w:highlight w:val="none"/>
              </w:rPr>
            </w:pPr>
            <w:r>
              <w:rPr>
                <w:rFonts w:ascii="Times New Roman" w:hAnsi="Times New Roman" w:eastAsia="Arial" w:cs="Times New Roman"/>
                <w:b/>
                <w:bCs/>
                <w:color w:val="000000" w:themeColor="text1"/>
                <w:sz w:val="20"/>
                <w:szCs w:val="20"/>
              </w:rPr>
              <w:t xml:space="preserve">ESPECIFICAÇÃO</w:t>
            </w:r>
            <w:r>
              <w:rPr>
                <w:rFonts w:ascii="Times New Roman" w:hAnsi="Times New Roman" w:eastAsia="Arial" w:cs="Times New Roman"/>
                <w:b/>
                <w:bCs/>
                <w:color w:val="000000" w:themeColor="text1"/>
                <w:sz w:val="20"/>
                <w:szCs w:val="20"/>
                <w:highlight w:val="none"/>
              </w:rPr>
            </w:r>
            <w:r>
              <w:rPr>
                <w:rFonts w:ascii="Times New Roman" w:hAnsi="Times New Roman" w:eastAsia="Arial" w:cs="Times New Roman"/>
                <w:b/>
                <w:bCs/>
                <w:color w:val="000000" w:themeColor="text1"/>
                <w:sz w:val="20"/>
                <w:szCs w:val="20"/>
                <w:highlight w:val="none"/>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272" w:type="dxa"/>
            <w:textDirection w:val="lrTb"/>
            <w:noWrap w:val="false"/>
          </w:tcPr>
          <w:p>
            <w:pPr>
              <w:widowControl w:val="false"/>
              <w:pBdr/>
              <w:spacing w:after="288" w:before="120" w:line="312" w:lineRule="auto"/>
              <w:ind/>
              <w:jc w:val="center"/>
              <w:rPr>
                <w:rFonts w:ascii="Times New Roman" w:hAnsi="Times New Roman" w:eastAsia="Arial" w:cs="Times New Roman"/>
                <w:color w:val="000000"/>
                <w:sz w:val="20"/>
                <w:szCs w:val="20"/>
              </w:rPr>
            </w:pPr>
            <w:r>
              <w:rPr>
                <w:rFonts w:ascii="Times New Roman" w:hAnsi="Times New Roman" w:eastAsia="Arial" w:cs="Times New Roman"/>
                <w:b/>
                <w:bCs/>
                <w:color w:val="000000" w:themeColor="text1"/>
                <w:sz w:val="20"/>
                <w:szCs w:val="20"/>
              </w:rPr>
              <w:t xml:space="preserve">UNIDADE DE MEDIDA</w:t>
            </w:r>
            <w:r>
              <w:rPr>
                <w:rFonts w:ascii="Times New Roman" w:hAnsi="Times New Roman" w:eastAsia="Arial" w:cs="Times New Roman"/>
                <w:color w:val="000000"/>
                <w:sz w:val="20"/>
                <w:szCs w:val="20"/>
              </w:rPr>
            </w:r>
            <w:r>
              <w:rPr>
                <w:rFonts w:ascii="Times New Roman" w:hAnsi="Times New Roman" w:eastAsia="Arial" w:cs="Times New Roman"/>
                <w:color w:val="000000"/>
                <w:sz w:val="20"/>
                <w:szCs w:val="2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134" w:type="dxa"/>
            <w:textDirection w:val="lrTb"/>
            <w:noWrap w:val="false"/>
          </w:tcPr>
          <w:p>
            <w:pPr>
              <w:widowControl w:val="false"/>
              <w:pBdr/>
              <w:spacing w:after="288" w:before="120" w:line="312" w:lineRule="auto"/>
              <w:ind/>
              <w:jc w:val="center"/>
              <w:rPr>
                <w:rFonts w:ascii="Times New Roman" w:hAnsi="Times New Roman" w:eastAsia="Arial" w:cs="Times New Roman"/>
                <w:b/>
                <w:bCs/>
                <w:sz w:val="20"/>
                <w:szCs w:val="20"/>
              </w:rPr>
            </w:pPr>
            <w:r>
              <w:rPr>
                <w:rFonts w:ascii="Times New Roman" w:hAnsi="Times New Roman" w:eastAsia="Arial" w:cs="Times New Roman"/>
                <w:b/>
                <w:bCs/>
                <w:sz w:val="20"/>
                <w:szCs w:val="20"/>
              </w:rPr>
              <w:t xml:space="preserve">QUANTIDADE</w:t>
            </w:r>
            <w:r>
              <w:rPr>
                <w:rFonts w:ascii="Times New Roman" w:hAnsi="Times New Roman" w:eastAsia="Arial" w:cs="Times New Roman"/>
                <w:b/>
                <w:bCs/>
                <w:sz w:val="20"/>
                <w:szCs w:val="20"/>
              </w:rPr>
            </w:r>
            <w:r>
              <w:rPr>
                <w:rFonts w:ascii="Times New Roman" w:hAnsi="Times New Roman" w:eastAsia="Arial" w:cs="Times New Roman"/>
                <w:b/>
                <w:bCs/>
                <w:sz w:val="20"/>
                <w:szCs w:val="2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559" w:type="dxa"/>
            <w:textDirection w:val="lrTb"/>
            <w:noWrap w:val="false"/>
          </w:tcPr>
          <w:p>
            <w:pPr>
              <w:widowControl w:val="false"/>
              <w:pBdr/>
              <w:spacing w:after="288" w:before="120" w:line="312" w:lineRule="auto"/>
              <w:ind/>
              <w:jc w:val="center"/>
              <w:rPr>
                <w:rFonts w:ascii="Times New Roman" w:hAnsi="Times New Roman" w:eastAsia="Arial" w:cs="Times New Roman"/>
                <w:b/>
                <w:bCs/>
                <w:sz w:val="20"/>
                <w:szCs w:val="20"/>
              </w:rPr>
            </w:pPr>
            <w:r>
              <w:rPr>
                <w:rFonts w:ascii="Times New Roman" w:hAnsi="Times New Roman" w:eastAsia="Arial" w:cs="Times New Roman"/>
                <w:b/>
                <w:bCs/>
                <w:sz w:val="20"/>
                <w:szCs w:val="20"/>
              </w:rPr>
              <w:t xml:space="preserve">VALOR UNITÁRIO</w:t>
            </w:r>
            <w:r>
              <w:rPr>
                <w:rFonts w:ascii="Times New Roman" w:hAnsi="Times New Roman" w:eastAsia="Arial" w:cs="Times New Roman"/>
                <w:b/>
                <w:bCs/>
                <w:sz w:val="20"/>
                <w:szCs w:val="20"/>
              </w:rPr>
            </w:r>
            <w:r>
              <w:rPr>
                <w:rFonts w:ascii="Times New Roman" w:hAnsi="Times New Roman" w:eastAsia="Arial" w:cs="Times New Roman"/>
                <w:b/>
                <w:bCs/>
                <w:sz w:val="20"/>
                <w:szCs w:val="2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418" w:type="dxa"/>
            <w:textDirection w:val="lrTb"/>
            <w:noWrap w:val="false"/>
          </w:tcPr>
          <w:p>
            <w:pPr>
              <w:widowControl w:val="false"/>
              <w:pBdr/>
              <w:spacing w:after="288" w:before="120" w:line="312" w:lineRule="auto"/>
              <w:ind/>
              <w:jc w:val="center"/>
              <w:rPr>
                <w:rFonts w:ascii="Times New Roman" w:hAnsi="Times New Roman" w:eastAsia="Arial" w:cs="Times New Roman"/>
                <w:b/>
                <w:bCs/>
                <w:sz w:val="20"/>
                <w:szCs w:val="20"/>
              </w:rPr>
            </w:pPr>
            <w:r>
              <w:rPr>
                <w:rFonts w:ascii="Times New Roman" w:hAnsi="Times New Roman" w:eastAsia="Arial" w:cs="Times New Roman"/>
                <w:b/>
                <w:bCs/>
                <w:sz w:val="20"/>
                <w:szCs w:val="20"/>
              </w:rPr>
              <w:t xml:space="preserve">VALOR TOTAL</w:t>
            </w:r>
            <w:r>
              <w:rPr>
                <w:rFonts w:ascii="Times New Roman" w:hAnsi="Times New Roman" w:eastAsia="Arial" w:cs="Times New Roman"/>
                <w:b/>
                <w:bCs/>
                <w:sz w:val="20"/>
                <w:szCs w:val="20"/>
              </w:rPr>
            </w:r>
            <w:r>
              <w:rPr>
                <w:rFonts w:ascii="Times New Roman" w:hAnsi="Times New Roman" w:eastAsia="Arial" w:cs="Times New Roman"/>
                <w:b/>
                <w:bCs/>
                <w:sz w:val="20"/>
                <w:szCs w:val="20"/>
              </w:rPr>
            </w:r>
          </w:p>
        </w:tc>
      </w:tr>
      <w:tr>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709" w:type="dxa"/>
            <w:textDirection w:val="lrTb"/>
            <w:noWrap w:val="false"/>
          </w:tcPr>
          <w:p>
            <w:pPr>
              <w:widowControl w:val="false"/>
              <w:pBdr/>
              <w:spacing w:after="288" w:before="120" w:line="312" w:lineRule="auto"/>
              <w:ind/>
              <w:rPr>
                <w:rFonts w:ascii="Times New Roman" w:hAnsi="Times New Roman" w:eastAsia="Arial" w:cs="Times New Roman"/>
                <w:b/>
                <w:bCs/>
                <w:color w:val="000000" w:themeColor="text1"/>
                <w:highlight w:val="none"/>
              </w:rPr>
            </w:pPr>
            <w:r>
              <w:rPr>
                <w:rFonts w:ascii="Times New Roman" w:hAnsi="Times New Roman" w:eastAsia="Arial" w:cs="Times New Roman"/>
                <w:b/>
                <w:bCs/>
                <w:color w:val="000000" w:themeColor="text1"/>
                <w:highlight w:val="none"/>
              </w:rPr>
            </w:r>
            <w:r>
              <w:rPr>
                <w:rFonts w:ascii="Times New Roman" w:hAnsi="Times New Roman" w:eastAsia="Arial" w:cs="Times New Roman"/>
                <w:b/>
                <w:bCs/>
                <w:color w:val="000000" w:themeColor="text1"/>
                <w:highlight w:val="none"/>
              </w:rPr>
            </w:r>
            <w:r>
              <w:rPr>
                <w:rFonts w:ascii="Times New Roman" w:hAnsi="Times New Roman" w:eastAsia="Arial" w:cs="Times New Roman"/>
                <w:b/>
                <w:bCs/>
                <w:color w:val="000000" w:themeColor="text1"/>
                <w:highlight w:val="none"/>
              </w:rPr>
            </w:r>
          </w:p>
          <w:p>
            <w:pPr>
              <w:widowControl w:val="false"/>
              <w:pBdr/>
              <w:spacing w:after="288" w:before="120" w:line="312" w:lineRule="auto"/>
              <w:ind/>
              <w:rPr>
                <w:rFonts w:ascii="Times New Roman" w:hAnsi="Times New Roman" w:eastAsia="Arial" w:cs="Times New Roman"/>
                <w:b/>
                <w:bCs/>
                <w:color w:val="000000" w:themeColor="text1"/>
                <w:highlight w:val="none"/>
              </w:rPr>
            </w:pPr>
            <w:r>
              <w:rPr>
                <w:rFonts w:ascii="Times New Roman" w:hAnsi="Times New Roman" w:eastAsia="Arial" w:cs="Times New Roman"/>
                <w:b/>
                <w:bCs/>
                <w:color w:val="000000" w:themeColor="text1"/>
                <w:highlight w:val="none"/>
              </w:rPr>
            </w:r>
            <w:r>
              <w:rPr>
                <w:rFonts w:ascii="Times New Roman" w:hAnsi="Times New Roman" w:eastAsia="Arial" w:cs="Times New Roman"/>
                <w:b/>
                <w:bCs/>
                <w:color w:val="000000" w:themeColor="text1"/>
                <w:highlight w:val="none"/>
              </w:rPr>
            </w:r>
            <w:r>
              <w:rPr>
                <w:rFonts w:ascii="Times New Roman" w:hAnsi="Times New Roman" w:eastAsia="Arial" w:cs="Times New Roman"/>
                <w:b/>
                <w:bCs/>
                <w:color w:val="000000" w:themeColor="text1"/>
                <w:highlight w:val="none"/>
              </w:rPr>
            </w:r>
          </w:p>
          <w:p>
            <w:pPr>
              <w:widowControl w:val="false"/>
              <w:pBdr/>
              <w:spacing w:after="288" w:before="120" w:line="312" w:lineRule="auto"/>
              <w:ind/>
              <w:rPr>
                <w:rFonts w:ascii="Times New Roman" w:hAnsi="Times New Roman" w:eastAsia="Arial" w:cs="Times New Roman"/>
                <w:b w:val="0"/>
                <w:bCs w:val="0"/>
                <w:color w:val="000000" w:themeColor="text1"/>
                <w:highlight w:val="none"/>
              </w:rPr>
            </w:pPr>
            <w:r>
              <w:rPr>
                <w:rFonts w:ascii="Times New Roman" w:hAnsi="Times New Roman" w:eastAsia="Arial" w:cs="Times New Roman"/>
                <w:b w:val="0"/>
                <w:bCs w:val="0"/>
                <w:color w:val="000000" w:themeColor="text1"/>
              </w:rPr>
              <w:t xml:space="preserve">    1</w:t>
            </w:r>
            <w:r>
              <w:rPr>
                <w:rFonts w:ascii="Times New Roman" w:hAnsi="Times New Roman" w:eastAsia="Arial" w:cs="Times New Roman"/>
                <w:b w:val="0"/>
                <w:bCs w:val="0"/>
                <w:color w:val="000000" w:themeColor="text1"/>
                <w:highlight w:val="none"/>
              </w:rPr>
            </w:r>
            <w:r>
              <w:rPr>
                <w:rFonts w:ascii="Times New Roman" w:hAnsi="Times New Roman" w:eastAsia="Arial" w:cs="Times New Roman"/>
                <w:b w:val="0"/>
                <w:bCs w:val="0"/>
                <w:color w:val="000000" w:themeColor="text1"/>
                <w:highlight w:val="none"/>
              </w:rPr>
            </w:r>
          </w:p>
          <w:p>
            <w:pPr>
              <w:widowControl w:val="false"/>
              <w:pBdr/>
              <w:spacing w:after="288" w:before="120" w:line="312" w:lineRule="auto"/>
              <w:ind/>
              <w:rPr>
                <w:rFonts w:ascii="Times New Roman" w:hAnsi="Times New Roman" w:eastAsia="Arial" w:cs="Times New Roman"/>
                <w:b/>
                <w:bCs/>
                <w:color w:val="000000" w:themeColor="text1"/>
                <w:highlight w:val="none"/>
              </w:rPr>
            </w:pPr>
            <w:r>
              <w:rPr>
                <w:rFonts w:ascii="Times New Roman" w:hAnsi="Times New Roman" w:eastAsia="Arial" w:cs="Times New Roman"/>
                <w:b/>
                <w:bCs/>
                <w:color w:val="000000" w:themeColor="text1"/>
                <w:highlight w:val="none"/>
              </w:rPr>
            </w:r>
            <w:r>
              <w:rPr>
                <w:rFonts w:ascii="Times New Roman" w:hAnsi="Times New Roman" w:eastAsia="Arial" w:cs="Times New Roman"/>
                <w:b/>
                <w:bCs/>
                <w:color w:val="000000" w:themeColor="text1"/>
                <w:highlight w:val="none"/>
              </w:rPr>
            </w:r>
            <w:r>
              <w:rPr>
                <w:rFonts w:ascii="Times New Roman" w:hAnsi="Times New Roman" w:eastAsia="Arial" w:cs="Times New Roman"/>
                <w:b/>
                <w:bCs/>
                <w:color w:val="000000" w:themeColor="text1"/>
                <w:highlight w:val="none"/>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3546" w:type="dxa"/>
            <w:vAlign w:val="center"/>
            <w:textDirection w:val="lrTb"/>
            <w:noWrap w:val="false"/>
          </w:tcPr>
          <w:p>
            <w:pPr>
              <w:pStyle w:val="1137"/>
              <w:widowControl w:val="true"/>
              <w:pBdr/>
              <w:spacing/>
              <w:ind w:right="0" w:firstLine="0" w:left="0"/>
              <w:jc w:val="both"/>
              <w:rPr>
                <w:rFonts w:ascii="Times New Roman" w:hAnsi="Times New Roman"/>
                <w:b w:val="0"/>
                <w:bCs w:val="0"/>
                <w:i w:val="0"/>
                <w:caps w:val="0"/>
                <w:smallCaps w:val="0"/>
                <w:color w:val="auto"/>
                <w:spacing w:val="0"/>
                <w:highlight w:val="none"/>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b w:val="0"/>
                <w:i w:val="0"/>
                <w:caps w:val="0"/>
                <w:smallCaps w:val="0"/>
                <w:color w:val="auto"/>
                <w:spacing w:val="0"/>
              </w:rPr>
              <w:t xml:space="preserve">Máquina de fusão óptica </w:t>
            </w:r>
            <w:r>
              <w:rPr>
                <w:rFonts w:ascii="Times New Roman" w:hAnsi="Times New Roman"/>
                <w:b w:val="0"/>
                <w:i w:val="0"/>
                <w:caps w:val="0"/>
                <w:smallCaps w:val="0"/>
                <w:color w:val="auto"/>
                <w:spacing w:val="0"/>
              </w:rPr>
              <w:t xml:space="preserve">Interface gráfica intuitiva em LCD 6 motores de alta precisão, alinhamento e fusão automática pelo nucleo. Aquecimento e fusão</w:t>
            </w:r>
            <w:r>
              <w:rPr>
                <w:rFonts w:ascii="Times New Roman" w:hAnsi="Times New Roman"/>
                <w:b w:val="0"/>
                <w:i w:val="0"/>
                <w:caps w:val="0"/>
                <w:smallCaps w:val="0"/>
                <w:color w:val="auto"/>
                <w:spacing w:val="0"/>
              </w:rPr>
              <w:t xml:space="preserve"> precisos pelo núcleo Foco automático com zoom de 300x Display: LCD colorido TFT DE 5 polegadas reversível Armazena 5000 resultados mais recentes Fibra óptica aplicavel SM(G.652&amp;G.657),MM(G.651),DS(G.653),NZDS(G.655) e tipos de fibra óptica auto-definidos.</w:t>
            </w:r>
            <w:r>
              <w:rPr>
                <w:rFonts w:ascii="Times New Roman" w:hAnsi="Times New Roman"/>
                <w:b w:val="0"/>
                <w:bCs w:val="0"/>
                <w:i w:val="0"/>
                <w:caps w:val="0"/>
                <w:smallCaps w:val="0"/>
                <w:color w:val="auto"/>
                <w:spacing w:val="0"/>
                <w:highlight w:val="none"/>
              </w:rPr>
            </w:r>
            <w:r>
              <w:rPr>
                <w:rFonts w:ascii="Times New Roman" w:hAnsi="Times New Roman"/>
                <w:b w:val="0"/>
                <w:bCs w:val="0"/>
                <w:i w:val="0"/>
                <w:caps w:val="0"/>
                <w:smallCaps w:val="0"/>
                <w:color w:val="auto"/>
                <w:spacing w:val="0"/>
                <w:highlight w:val="none"/>
              </w:rPr>
            </w:r>
          </w:p>
          <w:p>
            <w:pPr>
              <w:pStyle w:val="1137"/>
              <w:widowControl w:val="true"/>
              <w:pBdr/>
              <w:spacing/>
              <w:ind w:right="0" w:firstLine="0" w:left="0"/>
              <w:jc w:val="both"/>
              <w:rPr>
                <w:rFonts w:ascii="Times New Roman" w:hAnsi="Times New Roman"/>
                <w:b w:val="0"/>
                <w:bCs w:val="0"/>
                <w:i w:val="0"/>
                <w:caps w:val="0"/>
                <w:smallCaps w:val="0"/>
                <w:color w:val="auto"/>
                <w:spacing w:val="0"/>
              </w:rPr>
            </w:pPr>
            <w:r>
              <w:rPr>
                <w:rFonts w:ascii="Times New Roman" w:hAnsi="Times New Roman"/>
                <w:b w:val="0"/>
                <w:i w:val="0"/>
                <w:caps w:val="0"/>
                <w:smallCaps w:val="0"/>
                <w:color w:val="auto"/>
                <w:spacing w:val="0"/>
                <w:highlight w:val="none"/>
              </w:rPr>
            </w:r>
            <w:r>
              <w:rPr>
                <w:rFonts w:ascii="Times New Roman" w:hAnsi="Times New Roman"/>
                <w:b w:val="0"/>
                <w:bCs w:val="0"/>
                <w:i w:val="0"/>
                <w:caps w:val="0"/>
                <w:smallCaps w:val="0"/>
                <w:color w:val="auto"/>
                <w:spacing w:val="0"/>
              </w:rPr>
            </w:r>
            <w:r>
              <w:rPr>
                <w:rFonts w:ascii="Times New Roman" w:hAnsi="Times New Roman"/>
                <w:b w:val="0"/>
                <w:bCs w:val="0"/>
                <w:i w:val="0"/>
                <w:caps w:val="0"/>
                <w:smallCaps w:val="0"/>
                <w:color w:val="auto"/>
                <w:spacing w:val="0"/>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272" w:type="dxa"/>
            <w:textDirection w:val="lrTb"/>
            <w:noWrap w:val="false"/>
          </w:tcPr>
          <w:p>
            <w:pPr>
              <w:widowControl w:val="false"/>
              <w:pBdr/>
              <w:spacing w:after="288" w:before="120" w:line="312" w:lineRule="auto"/>
              <w:ind/>
              <w:jc w:val="center"/>
              <w:rPr>
                <w:rFonts w:ascii="Times New Roman" w:hAnsi="Times New Roman" w:eastAsia="Arial" w:cs="Times New Roman"/>
                <w:color w:val="000000"/>
              </w:rPr>
            </w:pPr>
            <w:r>
              <w:rPr>
                <w:rFonts w:ascii="Times New Roman" w:hAnsi="Times New Roman" w:eastAsia="Arial" w:cs="Times New Roman"/>
                <w:color w:val="000000"/>
                <w:highlight w:val="none"/>
              </w:rPr>
            </w:r>
            <w:r>
              <w:rPr>
                <w:rFonts w:ascii="Times New Roman" w:hAnsi="Times New Roman" w:eastAsia="Arial" w:cs="Times New Roman"/>
                <w:color w:val="000000"/>
              </w:rPr>
            </w:r>
            <w:r>
              <w:rPr>
                <w:rFonts w:ascii="Times New Roman" w:hAnsi="Times New Roman" w:eastAsia="Arial" w:cs="Times New Roman"/>
                <w:color w:val="000000"/>
              </w:rPr>
            </w:r>
          </w:p>
          <w:p>
            <w:pPr>
              <w:widowControl w:val="false"/>
              <w:pBdr/>
              <w:spacing w:after="288" w:before="120" w:line="312" w:lineRule="auto"/>
              <w:ind/>
              <w:jc w:val="center"/>
              <w:rPr>
                <w:rFonts w:ascii="Times New Roman" w:hAnsi="Times New Roman" w:eastAsia="Arial" w:cs="Times New Roman"/>
                <w:color w:val="000000"/>
                <w:highlight w:val="none"/>
              </w:rPr>
            </w:pP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p>
          <w:p>
            <w:pPr>
              <w:widowControl w:val="false"/>
              <w:pBdr/>
              <w:spacing w:after="288" w:before="120" w:line="312" w:lineRule="auto"/>
              <w:ind/>
              <w:jc w:val="center"/>
              <w:rPr>
                <w:rFonts w:ascii="Times New Roman" w:hAnsi="Times New Roman" w:eastAsia="Arial" w:cs="Times New Roman"/>
                <w:color w:val="000000"/>
                <w:highlight w:val="none"/>
              </w:rPr>
            </w:pPr>
            <w:r>
              <w:rPr>
                <w:rFonts w:ascii="Times New Roman" w:hAnsi="Times New Roman" w:eastAsia="Arial" w:cs="Times New Roman"/>
                <w:color w:val="000000"/>
              </w:rPr>
              <w:t xml:space="preserve">Unid</w:t>
            </w: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134" w:type="dxa"/>
            <w:textDirection w:val="lrTb"/>
            <w:noWrap w:val="false"/>
          </w:tcPr>
          <w:p>
            <w:pPr>
              <w:widowControl w:val="false"/>
              <w:pBdr/>
              <w:spacing w:after="288" w:before="120" w:line="312" w:lineRule="auto"/>
              <w:ind/>
              <w:jc w:val="center"/>
              <w:rPr>
                <w:rFonts w:ascii="Times New Roman" w:hAnsi="Times New Roman" w:eastAsia="Arial" w:cs="Times New Roman"/>
                <w:color w:val="000000"/>
              </w:rPr>
            </w:pPr>
            <w:r>
              <w:rPr>
                <w:rFonts w:ascii="Times New Roman" w:hAnsi="Times New Roman" w:eastAsia="Arial" w:cs="Times New Roman"/>
                <w:color w:val="000000"/>
                <w:highlight w:val="none"/>
              </w:rPr>
            </w:r>
            <w:r>
              <w:rPr>
                <w:rFonts w:ascii="Times New Roman" w:hAnsi="Times New Roman" w:eastAsia="Arial" w:cs="Times New Roman"/>
                <w:color w:val="000000"/>
              </w:rPr>
            </w:r>
            <w:r>
              <w:rPr>
                <w:rFonts w:ascii="Times New Roman" w:hAnsi="Times New Roman" w:eastAsia="Arial" w:cs="Times New Roman"/>
                <w:color w:val="000000"/>
              </w:rPr>
            </w:r>
          </w:p>
          <w:p>
            <w:pPr>
              <w:widowControl w:val="false"/>
              <w:pBdr/>
              <w:spacing w:after="288" w:before="120" w:line="312" w:lineRule="auto"/>
              <w:ind/>
              <w:jc w:val="center"/>
              <w:rPr>
                <w:rFonts w:ascii="Times New Roman" w:hAnsi="Times New Roman" w:eastAsia="Arial" w:cs="Times New Roman"/>
                <w:color w:val="000000"/>
                <w:highlight w:val="none"/>
              </w:rPr>
            </w:pP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p>
          <w:p>
            <w:pPr>
              <w:widowControl w:val="false"/>
              <w:pBdr/>
              <w:spacing w:after="288" w:before="120" w:line="312" w:lineRule="auto"/>
              <w:ind/>
              <w:jc w:val="center"/>
              <w:rPr>
                <w:rFonts w:ascii="Times New Roman" w:hAnsi="Times New Roman" w:eastAsia="Arial" w:cs="Times New Roman"/>
                <w:color w:val="000000"/>
                <w:highlight w:val="none"/>
              </w:rPr>
            </w:pPr>
            <w:r>
              <w:rPr>
                <w:rFonts w:ascii="Times New Roman" w:hAnsi="Times New Roman" w:eastAsia="Arial" w:cs="Times New Roman"/>
                <w:color w:val="000000"/>
              </w:rPr>
              <w:t xml:space="preserve">01</w:t>
            </w: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559" w:type="dxa"/>
            <w:textDirection w:val="lrTb"/>
            <w:noWrap w:val="false"/>
          </w:tcPr>
          <w:p>
            <w:pPr>
              <w:widowControl w:val="false"/>
              <w:pBdr/>
              <w:spacing w:after="288" w:before="120" w:line="312" w:lineRule="auto"/>
              <w:ind/>
              <w:rPr>
                <w:rFonts w:ascii="Times New Roman" w:hAnsi="Times New Roman" w:eastAsia="Arial" w:cs="Times New Roman"/>
                <w:color w:val="000000"/>
              </w:rPr>
            </w:pPr>
            <w:r>
              <w:rPr>
                <w:rFonts w:ascii="Times New Roman" w:hAnsi="Times New Roman" w:eastAsia="Arial" w:cs="Times New Roman"/>
                <w:color w:val="000000"/>
                <w:highlight w:val="none"/>
              </w:rPr>
            </w:r>
            <w:r>
              <w:rPr>
                <w:rFonts w:ascii="Times New Roman" w:hAnsi="Times New Roman" w:eastAsia="Arial" w:cs="Times New Roman"/>
                <w:color w:val="000000"/>
              </w:rPr>
            </w:r>
            <w:r>
              <w:rPr>
                <w:rFonts w:ascii="Times New Roman" w:hAnsi="Times New Roman" w:eastAsia="Arial" w:cs="Times New Roman"/>
                <w:color w:val="000000"/>
              </w:rPr>
            </w:r>
          </w:p>
          <w:p>
            <w:pPr>
              <w:widowControl w:val="false"/>
              <w:pBdr/>
              <w:spacing w:after="288" w:before="120" w:line="312" w:lineRule="auto"/>
              <w:ind/>
              <w:rPr>
                <w:rFonts w:ascii="Times New Roman" w:hAnsi="Times New Roman" w:eastAsia="Arial" w:cs="Times New Roman"/>
                <w:color w:val="000000"/>
                <w:highlight w:val="none"/>
              </w:rPr>
            </w:pP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p>
          <w:p>
            <w:pPr>
              <w:widowControl w:val="false"/>
              <w:pBdr/>
              <w:spacing w:after="288" w:before="120" w:line="312" w:lineRule="auto"/>
              <w:ind/>
              <w:rPr>
                <w:rFonts w:ascii="Times New Roman" w:hAnsi="Times New Roman" w:eastAsia="Arial" w:cs="Times New Roman"/>
                <w:color w:val="000000"/>
                <w:highlight w:val="none"/>
              </w:rPr>
            </w:pPr>
            <w:r>
              <w:rPr>
                <w:rFonts w:ascii="Times New Roman" w:hAnsi="Times New Roman" w:eastAsia="Arial" w:cs="Times New Roman"/>
                <w:color w:val="000000"/>
              </w:rPr>
              <w:t xml:space="preserve">R$ 13.285,00</w:t>
            </w:r>
            <w:r>
              <w:rPr>
                <w:rFonts w:ascii="Times New Roman" w:hAnsi="Times New Roman" w:eastAsia="Arial" w:cs="Times New Roman"/>
                <w:color w:val="000000"/>
                <w:highlight w:val="none"/>
              </w:rPr>
            </w:r>
            <w:r>
              <w:rPr>
                <w:rFonts w:ascii="Times New Roman" w:hAnsi="Times New Roman" w:eastAsia="Arial" w:cs="Times New Roman"/>
                <w:color w:val="000000"/>
                <w:highlight w:val="none"/>
              </w:rPr>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W w:w="1418" w:type="dxa"/>
            <w:textDirection w:val="lrTb"/>
            <w:noWrap w:val="false"/>
          </w:tcPr>
          <w:p>
            <w:pPr>
              <w:widowControl w:val="false"/>
              <w:pBdr/>
              <w:spacing w:after="288" w:before="120" w:line="312" w:lineRule="auto"/>
              <w:ind/>
              <w:rPr>
                <w:rFonts w:ascii="Times New Roman" w:hAnsi="Times New Roman" w:eastAsia="Arial" w:cs="Times New Roman"/>
                <w:color w:val="000000"/>
                <w:sz w:val="22"/>
                <w:szCs w:val="22"/>
                <w:highlight w:val="none"/>
              </w:rPr>
            </w:pPr>
            <w:r>
              <w:rPr>
                <w:rFonts w:ascii="Times New Roman" w:hAnsi="Times New Roman" w:eastAsia="Arial" w:cs="Times New Roman"/>
                <w:color w:val="000000"/>
                <w:sz w:val="22"/>
                <w:szCs w:val="22"/>
                <w:highlight w:val="none"/>
              </w:rPr>
            </w:r>
            <w:r>
              <w:rPr>
                <w:rFonts w:ascii="Times New Roman" w:hAnsi="Times New Roman" w:eastAsia="Arial" w:cs="Times New Roman"/>
                <w:color w:val="000000"/>
                <w:sz w:val="22"/>
                <w:szCs w:val="22"/>
                <w:highlight w:val="none"/>
              </w:rPr>
            </w:r>
            <w:r>
              <w:rPr>
                <w:rFonts w:ascii="Times New Roman" w:hAnsi="Times New Roman" w:eastAsia="Arial" w:cs="Times New Roman"/>
                <w:color w:val="000000"/>
                <w:sz w:val="22"/>
                <w:szCs w:val="22"/>
                <w:highlight w:val="none"/>
              </w:rPr>
            </w:r>
          </w:p>
          <w:p>
            <w:pPr>
              <w:widowControl w:val="false"/>
              <w:pBdr/>
              <w:spacing w:after="288" w:before="120" w:line="312" w:lineRule="auto"/>
              <w:ind/>
              <w:rPr>
                <w:rFonts w:ascii="Times New Roman" w:hAnsi="Times New Roman" w:eastAsia="Arial" w:cs="Times New Roman"/>
                <w:color w:val="000000"/>
                <w:sz w:val="22"/>
                <w:szCs w:val="22"/>
                <w:highlight w:val="none"/>
              </w:rPr>
            </w:pPr>
            <w:r>
              <w:rPr>
                <w:rFonts w:ascii="Times New Roman" w:hAnsi="Times New Roman" w:eastAsia="Arial" w:cs="Times New Roman"/>
                <w:color w:val="000000"/>
                <w:sz w:val="22"/>
                <w:szCs w:val="22"/>
                <w:highlight w:val="none"/>
              </w:rPr>
            </w:r>
            <w:r>
              <w:rPr>
                <w:rFonts w:ascii="Times New Roman" w:hAnsi="Times New Roman" w:eastAsia="Arial" w:cs="Times New Roman"/>
                <w:color w:val="000000"/>
                <w:sz w:val="22"/>
                <w:szCs w:val="22"/>
                <w:highlight w:val="none"/>
              </w:rPr>
            </w:r>
            <w:r>
              <w:rPr>
                <w:rFonts w:ascii="Times New Roman" w:hAnsi="Times New Roman" w:eastAsia="Arial" w:cs="Times New Roman"/>
                <w:color w:val="000000"/>
                <w:sz w:val="22"/>
                <w:szCs w:val="22"/>
                <w:highlight w:val="none"/>
              </w:rPr>
            </w:r>
          </w:p>
          <w:p>
            <w:pPr>
              <w:widowControl w:val="false"/>
              <w:pBdr/>
              <w:spacing w:after="288" w:before="120" w:line="312" w:lineRule="auto"/>
              <w:ind/>
              <w:rPr>
                <w:rFonts w:ascii="Times New Roman" w:hAnsi="Times New Roman" w:eastAsia="Arial" w:cs="Times New Roman"/>
                <w:color w:val="000000"/>
                <w:sz w:val="22"/>
                <w:szCs w:val="22"/>
                <w:highlight w:val="none"/>
              </w:rPr>
            </w:pPr>
            <w:r>
              <w:rPr>
                <w:rFonts w:ascii="Times New Roman" w:hAnsi="Times New Roman" w:eastAsia="Arial" w:cs="Times New Roman"/>
                <w:color w:val="000000"/>
                <w:sz w:val="22"/>
                <w:szCs w:val="22"/>
              </w:rPr>
              <w:t xml:space="preserve">R$ 13.285,00</w:t>
            </w:r>
            <w:r>
              <w:rPr>
                <w:rFonts w:ascii="Times New Roman" w:hAnsi="Times New Roman" w:eastAsia="Arial" w:cs="Times New Roman"/>
                <w:color w:val="000000"/>
                <w:sz w:val="22"/>
                <w:szCs w:val="22"/>
                <w:highlight w:val="none"/>
              </w:rPr>
            </w:r>
            <w:r>
              <w:rPr>
                <w:rFonts w:ascii="Times New Roman" w:hAnsi="Times New Roman" w:eastAsia="Arial" w:cs="Times New Roman"/>
                <w:color w:val="000000"/>
                <w:sz w:val="22"/>
                <w:szCs w:val="22"/>
                <w:highlight w:val="none"/>
              </w:rPr>
            </w:r>
          </w:p>
          <w:p>
            <w:pPr>
              <w:widowControl w:val="false"/>
              <w:pBdr/>
              <w:spacing w:after="288" w:before="120" w:line="312" w:lineRule="auto"/>
              <w:ind/>
              <w:rPr>
                <w:rFonts w:ascii="Times New Roman" w:hAnsi="Times New Roman" w:eastAsia="Arial" w:cs="Times New Roman"/>
                <w:color w:val="000000"/>
              </w:rPr>
            </w:pPr>
            <w:r>
              <w:rPr>
                <w:rFonts w:ascii="Times New Roman" w:hAnsi="Times New Roman" w:eastAsia="Arial" w:cs="Times New Roman"/>
                <w:color w:val="000000"/>
              </w:rPr>
            </w:r>
            <w:r>
              <w:rPr>
                <w:rFonts w:ascii="Times New Roman" w:hAnsi="Times New Roman" w:eastAsia="Arial" w:cs="Times New Roman"/>
                <w:color w:val="000000"/>
              </w:rPr>
            </w:r>
            <w:r>
              <w:rPr>
                <w:rFonts w:ascii="Times New Roman" w:hAnsi="Times New Roman" w:eastAsia="Arial" w:cs="Times New Roman"/>
                <w:color w:val="000000"/>
              </w:rPr>
            </w:r>
          </w:p>
        </w:tc>
      </w:tr>
    </w:tbl>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objeto desta contratação não se enquadra como sendo de bem de luxo, conforme Decreto nº 10.818, de 27 de setembro de 2021.</w:t>
      </w:r>
      <w:r>
        <w:rPr>
          <w:rFonts w:ascii="Times New Roman" w:hAnsi="Times New Roman" w:cs="Times New Roman"/>
          <w:sz w:val="24"/>
          <w:szCs w:val="24"/>
        </w:rPr>
      </w:r>
      <w:r>
        <w:rPr>
          <w:rFonts w:ascii="Times New Roman" w:hAnsi="Times New Roman" w:cs="Times New Roman"/>
          <w:sz w:val="24"/>
          <w:szCs w:val="24"/>
        </w:rPr>
      </w:r>
    </w:p>
    <w:p>
      <w:pPr>
        <w:pStyle w:val="1144"/>
        <w:pBdr/>
        <w:spacing/>
        <w:ind/>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O prazo de vigência da contratação é de </w:t>
      </w:r>
      <w:r>
        <w:rPr>
          <w:rFonts w:ascii="Times New Roman" w:hAnsi="Times New Roman" w:cs="Times New Roman"/>
          <w:i w:val="0"/>
          <w:iCs w:val="0"/>
          <w:color w:val="000000" w:themeColor="text1"/>
          <w:sz w:val="24"/>
          <w:szCs w:val="24"/>
        </w:rPr>
        <w:t xml:space="preserve">12 meses</w:t>
      </w:r>
      <w:r>
        <w:rPr>
          <w:rFonts w:ascii="Times New Roman" w:hAnsi="Times New Roman" w:cs="Times New Roman"/>
          <w:i w:val="0"/>
          <w:iCs w:val="0"/>
          <w:color w:val="000000" w:themeColor="text1"/>
          <w:sz w:val="24"/>
          <w:szCs w:val="24"/>
        </w:rPr>
        <w:t xml:space="preserve"> contados da</w:t>
      </w:r>
      <w:r>
        <w:rPr>
          <w:rFonts w:ascii="Times New Roman" w:hAnsi="Times New Roman" w:cs="Times New Roman"/>
          <w:i w:val="0"/>
          <w:iCs w:val="0"/>
          <w:color w:val="000000" w:themeColor="text1"/>
          <w:sz w:val="24"/>
          <w:szCs w:val="24"/>
        </w:rPr>
        <w:t xml:space="preserve"> assinatura do contrato</w:t>
      </w:r>
      <w:r>
        <w:rPr>
          <w:rFonts w:ascii="Times New Roman" w:hAnsi="Times New Roman" w:cs="Times New Roman"/>
          <w:i w:val="0"/>
          <w:iCs w:val="0"/>
          <w:color w:val="000000" w:themeColor="text1"/>
          <w:sz w:val="24"/>
          <w:szCs w:val="24"/>
        </w:rPr>
        <w:t xml:space="preserve">, na forma do artigo 105 da Lei n° 14.133, de 2021.</w:t>
      </w:r>
      <w:r>
        <w:rPr>
          <w:rFonts w:ascii="Times New Roman" w:hAnsi="Times New Roman" w:cs="Times New Roman"/>
          <w:i w:val="0"/>
          <w:iCs w:val="0"/>
          <w:color w:val="000000" w:themeColor="text1"/>
          <w:sz w:val="24"/>
          <w:szCs w:val="24"/>
        </w:rPr>
      </w:r>
      <w:r>
        <w:rPr>
          <w:rFonts w:ascii="Times New Roman" w:hAnsi="Times New Roman" w:cs="Times New Roman"/>
          <w:i w:val="0"/>
          <w:iCs w:val="0"/>
          <w:color w:val="000000" w:themeColor="text1"/>
          <w:sz w:val="24"/>
          <w:szCs w:val="24"/>
        </w:rPr>
      </w:r>
    </w:p>
    <w:p>
      <w:pPr>
        <w:pStyle w:val="1094"/>
        <w:numPr>
          <w:ilvl w:val="1"/>
          <w:numId w:val="0"/>
        </w:numPr>
        <w:pBdr/>
        <w:spacing/>
        <w:ind/>
        <w:rPr>
          <w:rFonts w:ascii="Times New Roman" w:hAnsi="Times New Roman" w:cs="Times New Roman"/>
          <w:sz w:val="4"/>
          <w:szCs w:val="4"/>
        </w:rPr>
      </w:pPr>
      <w:r>
        <w:rPr>
          <w:rFonts w:ascii="Times New Roman" w:hAnsi="Times New Roman" w:cs="Times New Roman"/>
          <w:sz w:val="4"/>
          <w:szCs w:val="4"/>
        </w:rPr>
      </w:r>
      <w:r>
        <w:rPr>
          <w:rFonts w:ascii="Times New Roman" w:hAnsi="Times New Roman" w:cs="Times New Roman"/>
          <w:sz w:val="4"/>
          <w:szCs w:val="4"/>
        </w:rPr>
      </w:r>
      <w:r>
        <w:rPr>
          <w:rFonts w:ascii="Times New Roman" w:hAnsi="Times New Roman" w:cs="Times New Roman"/>
          <w:sz w:val="4"/>
          <w:szCs w:val="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contrato</w:t>
      </w:r>
      <w:r>
        <w:rPr>
          <w:rFonts w:ascii="Times New Roman" w:hAnsi="Times New Roman" w:cs="Times New Roman"/>
          <w:sz w:val="24"/>
          <w:szCs w:val="24"/>
        </w:rPr>
        <w:t xml:space="preserve"> </w:t>
      </w:r>
      <w:r>
        <w:rPr>
          <w:rFonts w:ascii="Times New Roman" w:hAnsi="Times New Roman" w:cs="Times New Roman"/>
          <w:sz w:val="24"/>
          <w:szCs w:val="24"/>
        </w:rPr>
        <w:t xml:space="preserve">oferece maior detalhamento das regras que serão aplicadas em relação à vigência da contratação.</w:t>
      </w:r>
      <w:r>
        <w:rPr>
          <w:rFonts w:ascii="Times New Roman" w:hAnsi="Times New Roman" w:cs="Times New Roman"/>
          <w:sz w:val="24"/>
          <w:szCs w:val="24"/>
        </w:rPr>
      </w:r>
      <w:r>
        <w:rPr>
          <w:rFonts w:ascii="Times New Roman" w:hAnsi="Times New Roman" w:cs="Times New Roman"/>
          <w:sz w:val="24"/>
          <w:szCs w:val="24"/>
        </w:rPr>
      </w:r>
    </w:p>
    <w:p>
      <w:pPr>
        <w:pStyle w:val="1094"/>
        <w:numPr>
          <w:ilvl w:val="1"/>
          <w:numId w:val="0"/>
        </w:numPr>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FUNDAMENTAÇÃO E DESCRIÇÃO DA NECESSIDADE DA CONTRATAÇÃO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A Fundamentação da Contratação e de seus quantitativos encontra-se pormenorizada em Tópico específico dos Estudos Técnicos Preliminares, apêndice deste Termo de Referência.</w:t>
      </w:r>
      <w:r>
        <w:rPr>
          <w:rFonts w:ascii="Times New Roman" w:hAnsi="Times New Roman" w:cs="Times New Roman"/>
          <w:sz w:val="24"/>
          <w:szCs w:val="24"/>
        </w:rPr>
      </w:r>
      <w:r>
        <w:rPr>
          <w:rFonts w:ascii="Times New Roman" w:hAnsi="Times New Roman" w:cs="Times New Roman"/>
          <w:sz w:val="24"/>
          <w:szCs w:val="24"/>
        </w:rPr>
      </w:r>
    </w:p>
    <w:p>
      <w:pPr>
        <w:pStyle w:val="1144"/>
        <w:pBdr/>
        <w:spacing/>
        <w:ind/>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O objeto da contratação está previsto no Plano de Contratações Anual </w:t>
      </w:r>
      <w:r>
        <w:rPr>
          <w:rFonts w:ascii="Times New Roman" w:hAnsi="Times New Roman" w:cs="Times New Roman"/>
          <w:i w:val="0"/>
          <w:iCs w:val="0"/>
          <w:color w:val="000000" w:themeColor="text1"/>
          <w:sz w:val="24"/>
          <w:szCs w:val="24"/>
        </w:rPr>
        <w:t xml:space="preserve">2024</w:t>
      </w:r>
      <w:r>
        <w:rPr>
          <w:rFonts w:ascii="Times New Roman" w:hAnsi="Times New Roman" w:cs="Times New Roman"/>
          <w:i w:val="0"/>
          <w:iCs w:val="0"/>
          <w:color w:val="000000" w:themeColor="text1"/>
          <w:sz w:val="24"/>
          <w:szCs w:val="24"/>
        </w:rPr>
        <w:t xml:space="preserve">, conforme </w:t>
      </w:r>
      <w:r>
        <w:rPr>
          <w:rFonts w:ascii="Times New Roman" w:hAnsi="Times New Roman" w:cs="Times New Roman"/>
          <w:i w:val="0"/>
          <w:iCs w:val="0"/>
          <w:color w:val="000000" w:themeColor="text1"/>
          <w:sz w:val="24"/>
          <w:szCs w:val="24"/>
        </w:rPr>
        <w:t xml:space="preserve">consta das </w:t>
      </w:r>
      <w:r>
        <w:rPr>
          <w:rFonts w:ascii="Times New Roman" w:hAnsi="Times New Roman" w:cs="Times New Roman"/>
          <w:i w:val="0"/>
          <w:iCs w:val="0"/>
          <w:color w:val="000000" w:themeColor="text1"/>
          <w:sz w:val="24"/>
          <w:szCs w:val="24"/>
        </w:rPr>
        <w:t xml:space="preserve">informações básicas desse termo de referência</w:t>
      </w:r>
      <w:r>
        <w:rPr>
          <w:rFonts w:ascii="Times New Roman" w:hAnsi="Times New Roman" w:cs="Times New Roman"/>
          <w:i w:val="0"/>
          <w:iCs w:val="0"/>
          <w:color w:val="000000" w:themeColor="text1"/>
          <w:sz w:val="24"/>
          <w:szCs w:val="24"/>
        </w:rPr>
        <w:t xml:space="preserve">.</w:t>
      </w:r>
      <w:r>
        <w:rPr>
          <w:rFonts w:ascii="Times New Roman" w:hAnsi="Times New Roman" w:cs="Times New Roman"/>
          <w:i w:val="0"/>
          <w:iCs w:val="0"/>
          <w:color w:val="000000" w:themeColor="text1"/>
          <w:sz w:val="24"/>
          <w:szCs w:val="24"/>
        </w:rPr>
      </w:r>
      <w:r>
        <w:rPr>
          <w:rFonts w:ascii="Times New Roman" w:hAnsi="Times New Roman" w:cs="Times New Roman"/>
          <w:i w:val="0"/>
          <w:iCs w:val="0"/>
          <w:color w:val="000000" w:themeColor="text1"/>
          <w:sz w:val="24"/>
          <w:szCs w:val="24"/>
        </w:rPr>
      </w:r>
    </w:p>
    <w:p>
      <w:pPr>
        <w:pStyle w:val="1144"/>
        <w:numPr>
          <w:ilvl w:val="1"/>
          <w:numId w:val="0"/>
        </w:num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DESCRIÇÃO DA SOLUÇÃO COMO UM TODO CONSIDERADO O CICLO DE VIDA DO OBJETO E ESPECIFICAÇÃO DO PRODUTO</w:t>
      </w:r>
      <w:r>
        <w:rPr>
          <w:rFonts w:ascii="Times New Roman" w:hAnsi="Times New Roman" w:cs="Times New Roman"/>
          <w:sz w:val="24"/>
          <w:szCs w:val="24"/>
        </w:rPr>
      </w:r>
      <w:r>
        <w:rPr>
          <w:rFonts w:ascii="Times New Roman" w:hAnsi="Times New Roman" w:cs="Times New Roman"/>
          <w:sz w:val="24"/>
          <w:szCs w:val="24"/>
        </w:rPr>
      </w:r>
    </w:p>
    <w:p>
      <w:pPr>
        <w:pStyle w:val="1144"/>
        <w:pBdr/>
        <w:spacing/>
        <w:ind/>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A descrição da solução como um todo encontra-se pormenorizada em tópico específico dos Estudos Técnicos Preliminares, apêndice deste Termo de Referência.</w:t>
      </w:r>
      <w:r>
        <w:rPr>
          <w:rFonts w:ascii="Times New Roman" w:hAnsi="Times New Roman" w:cs="Times New Roman"/>
          <w:i w:val="0"/>
          <w:iCs w:val="0"/>
          <w:color w:val="000000" w:themeColor="text1"/>
          <w:sz w:val="24"/>
          <w:szCs w:val="24"/>
        </w:rPr>
      </w:r>
      <w:r>
        <w:rPr>
          <w:rFonts w:ascii="Times New Roman" w:hAnsi="Times New Roman" w:cs="Times New Roman"/>
          <w:i w:val="0"/>
          <w:iCs w:val="0"/>
          <w:color w:val="000000" w:themeColor="text1"/>
          <w:sz w:val="24"/>
          <w:szCs w:val="24"/>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REQUISITOS DA CONTRATAÇÃO</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Sustentabilidade:</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shd w:val="clear" w:color="auto" w:fill="ffffff"/>
        </w:rPr>
      </w:pPr>
      <w:r>
        <w:rPr>
          <w:rFonts w:ascii="Times New Roman" w:hAnsi="Times New Roman" w:cs="Times New Roman"/>
          <w:sz w:val="24"/>
          <w:szCs w:val="24"/>
        </w:rPr>
        <w:t xml:space="preserve">Além dos critérios de sustentabilidade eventualmente inseridos na descrição do objeto, devem ser atendidos os seguintes requisitos, que se baseiam no Guia Nacional de Contratações Sustentáveis:</w:t>
      </w:r>
      <w:r>
        <w:rPr>
          <w:rFonts w:ascii="Times New Roman" w:hAnsi="Times New Roman" w:cs="Times New Roman"/>
          <w:sz w:val="24"/>
          <w:szCs w:val="24"/>
          <w:shd w:val="clear" w:color="auto" w:fill="ffffff"/>
        </w:rPr>
      </w:r>
      <w:r>
        <w:rPr>
          <w:rFonts w:ascii="Times New Roman" w:hAnsi="Times New Roman" w:cs="Times New Roman"/>
          <w:sz w:val="24"/>
          <w:szCs w:val="24"/>
          <w:shd w:val="clear" w:color="auto" w:fill="ffffff"/>
        </w:rPr>
      </w:r>
    </w:p>
    <w:p>
      <w:pPr>
        <w:pStyle w:val="1038"/>
        <w:pBdr/>
        <w:tabs>
          <w:tab w:val="left" w:leader="none" w:pos="1134"/>
        </w:tabs>
        <w:spacing w:after="240" w:before="240"/>
        <w:ind w:firstLine="567"/>
        <w:jc w:val="both"/>
        <w:rPr>
          <w:rFonts w:ascii="Times New Roman" w:hAnsi="Times New Roman" w:cs="Times New Roman"/>
          <w:color w:val="auto"/>
        </w:rPr>
      </w:pPr>
      <w:r>
        <w:rPr>
          <w:rFonts w:ascii="Times New Roman" w:hAnsi="Times New Roman" w:cs="Times New Roman"/>
          <w:color w:val="auto"/>
        </w:rPr>
        <w:t xml:space="preserve">4.1.1. </w:t>
      </w:r>
      <w:r>
        <w:rPr>
          <w:rFonts w:ascii="Times New Roman" w:hAnsi="Times New Roman" w:cs="Times New Roman"/>
          <w:color w:val="auto"/>
        </w:rPr>
        <w:t xml:space="preserve">Os materiais fornecidos devem ser, preferencialmente, acondicionados em embalagem individual adequada, com o menor volume possível, que utilize materiais recicláveis, de forma a garantir a máxima proteção durante o transporte e o armazenamento;</w:t>
      </w:r>
      <w:r>
        <w:rPr>
          <w:rFonts w:ascii="Times New Roman" w:hAnsi="Times New Roman" w:cs="Times New Roman"/>
          <w:color w:val="auto"/>
        </w:rPr>
      </w:r>
      <w:r>
        <w:rPr>
          <w:rFonts w:ascii="Times New Roman" w:hAnsi="Times New Roman" w:cs="Times New Roman"/>
          <w:color w:val="auto"/>
        </w:rPr>
      </w:r>
    </w:p>
    <w:p>
      <w:pPr>
        <w:pStyle w:val="1038"/>
        <w:pBdr/>
        <w:tabs>
          <w:tab w:val="left" w:leader="none" w:pos="1134"/>
        </w:tabs>
        <w:spacing w:after="240" w:before="240"/>
        <w:ind w:firstLine="567"/>
        <w:jc w:val="both"/>
        <w:rPr>
          <w:rFonts w:ascii="Times New Roman" w:hAnsi="Times New Roman" w:cs="Times New Roman"/>
          <w:color w:val="auto"/>
        </w:rPr>
      </w:pPr>
      <w:r>
        <w:rPr>
          <w:rFonts w:ascii="Times New Roman" w:hAnsi="Times New Roman" w:cs="Times New Roman"/>
          <w:color w:val="auto"/>
        </w:rPr>
        <w:t xml:space="preserve">4.1.2. </w:t>
      </w:r>
      <w:r>
        <w:rPr>
          <w:rFonts w:ascii="Times New Roman" w:hAnsi="Times New Roman" w:cs="Times New Roman"/>
          <w:color w:val="auto"/>
        </w:rPr>
        <w:t xml:space="preserve">Os bens não contenham substâncias perigosas em concentração acima da recomendada na diretiva </w:t>
      </w:r>
      <w:r>
        <w:rPr>
          <w:rFonts w:ascii="Times New Roman" w:hAnsi="Times New Roman" w:cs="Times New Roman"/>
          <w:color w:val="auto"/>
        </w:rPr>
        <w:t xml:space="preserve">RoHS</w:t>
      </w:r>
      <w:r>
        <w:rPr>
          <w:rFonts w:ascii="Times New Roman" w:hAnsi="Times New Roman" w:cs="Times New Roman"/>
          <w:color w:val="auto"/>
        </w:rPr>
        <w:t xml:space="preserve"> (</w:t>
      </w:r>
      <w:r>
        <w:rPr>
          <w:rFonts w:ascii="Times New Roman" w:hAnsi="Times New Roman" w:cs="Times New Roman"/>
          <w:color w:val="auto"/>
        </w:rPr>
        <w:t xml:space="preserve">Restriction</w:t>
      </w:r>
      <w:r>
        <w:rPr>
          <w:rFonts w:ascii="Times New Roman" w:hAnsi="Times New Roman" w:cs="Times New Roman"/>
          <w:color w:val="auto"/>
        </w:rPr>
        <w:t xml:space="preserve"> </w:t>
      </w:r>
      <w:r>
        <w:rPr>
          <w:rFonts w:ascii="Times New Roman" w:hAnsi="Times New Roman" w:cs="Times New Roman"/>
          <w:color w:val="auto"/>
        </w:rPr>
        <w:t xml:space="preserve">of</w:t>
      </w:r>
      <w:r>
        <w:rPr>
          <w:rFonts w:ascii="Times New Roman" w:hAnsi="Times New Roman" w:cs="Times New Roman"/>
          <w:color w:val="auto"/>
        </w:rPr>
        <w:t xml:space="preserve"> </w:t>
      </w:r>
      <w:r>
        <w:rPr>
          <w:rFonts w:ascii="Times New Roman" w:hAnsi="Times New Roman" w:cs="Times New Roman"/>
          <w:color w:val="auto"/>
        </w:rPr>
        <w:t xml:space="preserve">Certain</w:t>
      </w:r>
      <w:r>
        <w:rPr>
          <w:rFonts w:ascii="Times New Roman" w:hAnsi="Times New Roman" w:cs="Times New Roman"/>
          <w:color w:val="auto"/>
        </w:rPr>
        <w:t xml:space="preserve"> </w:t>
      </w:r>
      <w:r>
        <w:rPr>
          <w:rFonts w:ascii="Times New Roman" w:hAnsi="Times New Roman" w:cs="Times New Roman"/>
          <w:color w:val="auto"/>
        </w:rPr>
        <w:t xml:space="preserve">Hazardous</w:t>
      </w:r>
      <w:r>
        <w:rPr>
          <w:rFonts w:ascii="Times New Roman" w:hAnsi="Times New Roman" w:cs="Times New Roman"/>
          <w:color w:val="auto"/>
        </w:rPr>
        <w:t xml:space="preserve"> </w:t>
      </w:r>
      <w:r>
        <w:rPr>
          <w:rFonts w:ascii="Times New Roman" w:hAnsi="Times New Roman" w:cs="Times New Roman"/>
          <w:color w:val="auto"/>
        </w:rPr>
        <w:t xml:space="preserve">Substances</w:t>
      </w:r>
      <w:r>
        <w:rPr>
          <w:rFonts w:ascii="Times New Roman" w:hAnsi="Times New Roman" w:cs="Times New Roman"/>
          <w:color w:val="auto"/>
        </w:rPr>
        <w:t xml:space="preserve">), tais como mercúrio (Hg), chumbo (</w:t>
      </w:r>
      <w:r>
        <w:rPr>
          <w:rFonts w:ascii="Times New Roman" w:hAnsi="Times New Roman" w:cs="Times New Roman"/>
          <w:color w:val="auto"/>
        </w:rPr>
        <w:t xml:space="preserve">Pb</w:t>
      </w:r>
      <w:r>
        <w:rPr>
          <w:rFonts w:ascii="Times New Roman" w:hAnsi="Times New Roman" w:cs="Times New Roman"/>
          <w:color w:val="auto"/>
        </w:rPr>
        <w:t xml:space="preserve">), cromo hexavalente (</w:t>
      </w:r>
      <w:r>
        <w:rPr>
          <w:rFonts w:ascii="Times New Roman" w:hAnsi="Times New Roman" w:cs="Times New Roman"/>
          <w:color w:val="auto"/>
        </w:rPr>
        <w:t xml:space="preserve">Cr(</w:t>
      </w:r>
      <w:r>
        <w:rPr>
          <w:rFonts w:ascii="Times New Roman" w:hAnsi="Times New Roman" w:cs="Times New Roman"/>
          <w:color w:val="auto"/>
        </w:rPr>
        <w:t xml:space="preserve">VI)), cádmio(</w:t>
      </w:r>
      <w:r>
        <w:rPr>
          <w:rFonts w:ascii="Times New Roman" w:hAnsi="Times New Roman" w:cs="Times New Roman"/>
          <w:color w:val="auto"/>
        </w:rPr>
        <w:t xml:space="preserve">Cd</w:t>
      </w:r>
      <w:r>
        <w:rPr>
          <w:rFonts w:ascii="Times New Roman" w:hAnsi="Times New Roman" w:cs="Times New Roman"/>
          <w:color w:val="auto"/>
        </w:rPr>
        <w:t xml:space="preserve">), </w:t>
      </w:r>
      <w:r>
        <w:rPr>
          <w:rFonts w:ascii="Times New Roman" w:hAnsi="Times New Roman" w:cs="Times New Roman"/>
          <w:color w:val="auto"/>
        </w:rPr>
        <w:t xml:space="preserve">bifenil</w:t>
      </w:r>
      <w:r>
        <w:rPr>
          <w:rFonts w:ascii="Times New Roman" w:hAnsi="Times New Roman" w:cs="Times New Roman"/>
          <w:color w:val="auto"/>
        </w:rPr>
        <w:t xml:space="preserve">-polibromados (</w:t>
      </w:r>
      <w:r>
        <w:rPr>
          <w:rFonts w:ascii="Times New Roman" w:hAnsi="Times New Roman" w:cs="Times New Roman"/>
          <w:color w:val="auto"/>
        </w:rPr>
        <w:t xml:space="preserve">PBBs</w:t>
      </w:r>
      <w:r>
        <w:rPr>
          <w:rFonts w:ascii="Times New Roman" w:hAnsi="Times New Roman" w:cs="Times New Roman"/>
          <w:color w:val="auto"/>
        </w:rPr>
        <w:t xml:space="preserve">), éteres difenil-polibromados (PBDEs).</w:t>
      </w:r>
      <w:r>
        <w:rPr>
          <w:rFonts w:ascii="Times New Roman" w:hAnsi="Times New Roman" w:cs="Times New Roman"/>
          <w:color w:val="auto"/>
        </w:rPr>
      </w:r>
      <w:r>
        <w:rPr>
          <w:rFonts w:ascii="Times New Roman" w:hAnsi="Times New Roman" w:cs="Times New Roman"/>
          <w:color w:val="auto"/>
        </w:rPr>
      </w:r>
    </w:p>
    <w:p>
      <w:pPr>
        <w:pStyle w:val="1038"/>
        <w:pBdr/>
        <w:tabs>
          <w:tab w:val="left" w:leader="none" w:pos="1134"/>
        </w:tabs>
        <w:spacing w:after="240" w:before="240"/>
        <w:ind w:firstLine="567"/>
        <w:jc w:val="both"/>
        <w:rPr>
          <w:rFonts w:ascii="Times New Roman" w:hAnsi="Times New Roman" w:cs="Times New Roman"/>
          <w:color w:val="auto"/>
        </w:rPr>
      </w:pPr>
      <w:r>
        <w:rPr>
          <w:rFonts w:ascii="Times New Roman" w:hAnsi="Times New Roman" w:cs="Times New Roman"/>
          <w:color w:val="auto"/>
        </w:rPr>
        <w:t xml:space="preserve">4.1.3. </w:t>
      </w:r>
      <w:r>
        <w:rPr>
          <w:rFonts w:ascii="Times New Roman" w:hAnsi="Times New Roman" w:cs="Times New Roman"/>
          <w:color w:val="auto"/>
        </w:rPr>
        <w:t xml:space="preserve">A logística reversa deve ser de responsabilidade da contratada, devendo a mesma obedecer a todas as normas específicas vigentes para a destinação fina</w:t>
      </w:r>
      <w:r>
        <w:rPr>
          <w:rFonts w:ascii="Times New Roman" w:hAnsi="Times New Roman" w:cs="Times New Roman"/>
          <w:color w:val="auto"/>
        </w:rPr>
        <w:t xml:space="preserve">l, inclusive embalagens dos produtos utilizados. Dentre as normas da legislação obrigatória a ser seguida, destacam-se: o Decreto nº 7.404, de 23 de dezembro de 2010, a IN/SLTI/MP nº 1, de 19 de janeiro de 2010, e o Decreto nº 7.746, de 5 de junho de 2012.</w:t>
      </w:r>
      <w:r>
        <w:rPr>
          <w:rFonts w:ascii="Times New Roman" w:hAnsi="Times New Roman" w:cs="Times New Roman"/>
          <w:color w:val="auto"/>
        </w:rPr>
      </w:r>
      <w:r>
        <w:rPr>
          <w:rFonts w:ascii="Times New Roman" w:hAnsi="Times New Roman" w:cs="Times New Roman"/>
          <w:color w:val="auto"/>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Subcontratação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Não é admitida a subcontratação do objeto contratual.</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Garantia da contratação</w:t>
      </w:r>
      <w:r>
        <w:rPr>
          <w:rFonts w:ascii="Times New Roman" w:hAnsi="Times New Roman" w:cs="Times New Roman"/>
          <w:sz w:val="24"/>
          <w:szCs w:val="24"/>
        </w:rPr>
      </w:r>
      <w:r>
        <w:rPr>
          <w:rFonts w:ascii="Times New Roman" w:hAnsi="Times New Roman" w:cs="Times New Roman"/>
          <w:sz w:val="24"/>
          <w:szCs w:val="24"/>
        </w:rPr>
      </w:r>
    </w:p>
    <w:p>
      <w:pPr>
        <w:pStyle w:val="1144"/>
        <w:pBdr/>
        <w:spacing/>
        <w:ind/>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Não haverá exigência da garantia da contratação dos </w:t>
      </w:r>
      <w:hyperlink r:id="rId16" w:tooltip="http://www.planalto.gov.br/ccivil_03/_ato2019-2022/2021/lei/L14133.htm#art96" w:anchor="art96" w:history="1">
        <w:r>
          <w:rPr>
            <w:rStyle w:val="1052"/>
            <w:rFonts w:ascii="Times New Roman" w:hAnsi="Times New Roman" w:cs="Times New Roman"/>
            <w:i w:val="0"/>
            <w:iCs w:val="0"/>
            <w:color w:val="000000" w:themeColor="text1"/>
            <w:sz w:val="24"/>
            <w:szCs w:val="24"/>
          </w:rPr>
          <w:t xml:space="preserve">artigos 96 e seguintes da Lei nº 14.133, de 2021</w:t>
        </w:r>
      </w:hyperlink>
      <w:r>
        <w:rPr>
          <w:rFonts w:ascii="Times New Roman" w:hAnsi="Times New Roman" w:cs="Times New Roman"/>
          <w:i w:val="0"/>
          <w:iCs w:val="0"/>
          <w:color w:val="000000" w:themeColor="text1"/>
          <w:sz w:val="24"/>
          <w:szCs w:val="24"/>
        </w:rPr>
        <w:t xml:space="preserve">, pelas razões constantes do Estudo Técnico Preliminar.</w:t>
      </w:r>
      <w:r>
        <w:rPr>
          <w:rFonts w:ascii="Times New Roman" w:hAnsi="Times New Roman" w:cs="Times New Roman"/>
          <w:i w:val="0"/>
          <w:iCs w:val="0"/>
          <w:color w:val="000000" w:themeColor="text1"/>
          <w:sz w:val="24"/>
          <w:szCs w:val="24"/>
        </w:rPr>
      </w:r>
      <w:r>
        <w:rPr>
          <w:rFonts w:ascii="Times New Roman" w:hAnsi="Times New Roman" w:cs="Times New Roman"/>
          <w:i w:val="0"/>
          <w:iCs w:val="0"/>
          <w:color w:val="000000" w:themeColor="text1"/>
          <w:sz w:val="24"/>
          <w:szCs w:val="24"/>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MODELO DE EXECUÇÃO DO OBJETO</w:t>
      </w:r>
      <w:r>
        <w:rPr>
          <w:rFonts w:ascii="Times New Roman" w:hAnsi="Times New Roman" w:cs="Times New Roman"/>
          <w:sz w:val="24"/>
          <w:szCs w:val="24"/>
        </w:rPr>
      </w:r>
      <w:r>
        <w:rPr>
          <w:rFonts w:ascii="Times New Roman" w:hAnsi="Times New Roman" w:cs="Times New Roman"/>
          <w:sz w:val="24"/>
          <w:szCs w:val="24"/>
        </w:rPr>
      </w:r>
    </w:p>
    <w:p>
      <w:pPr>
        <w:pStyle w:val="1150"/>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Condições de Entrega</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144"/>
        <w:pBdr/>
        <w:spacing/>
        <w:ind/>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O prazo de entrega dos bens é de </w:t>
      </w:r>
      <w:r>
        <w:rPr>
          <w:rFonts w:ascii="Times New Roman" w:hAnsi="Times New Roman" w:cs="Times New Roman"/>
          <w:i w:val="0"/>
          <w:iCs w:val="0"/>
          <w:color w:val="000000" w:themeColor="text1"/>
          <w:sz w:val="24"/>
          <w:szCs w:val="24"/>
        </w:rPr>
        <w:t xml:space="preserve">30 (trinta)</w:t>
      </w:r>
      <w:r>
        <w:rPr>
          <w:rFonts w:ascii="Times New Roman" w:hAnsi="Times New Roman" w:cs="Times New Roman"/>
          <w:i w:val="0"/>
          <w:iCs w:val="0"/>
          <w:color w:val="000000" w:themeColor="text1"/>
          <w:sz w:val="24"/>
          <w:szCs w:val="24"/>
        </w:rPr>
        <w:t xml:space="preserve"> dias, contados d</w:t>
      </w:r>
      <w:r>
        <w:rPr>
          <w:rFonts w:ascii="Times New Roman" w:hAnsi="Times New Roman" w:cs="Times New Roman"/>
          <w:i w:val="0"/>
          <w:iCs w:val="0"/>
          <w:color w:val="000000" w:themeColor="text1"/>
          <w:sz w:val="24"/>
          <w:szCs w:val="24"/>
        </w:rPr>
        <w:t xml:space="preserve">o recebimento do contrato ou documento que o substitua (nota de empenho de despesas)</w:t>
      </w:r>
      <w:r>
        <w:rPr>
          <w:rFonts w:ascii="Times New Roman" w:hAnsi="Times New Roman" w:cs="Times New Roman"/>
          <w:i w:val="0"/>
          <w:iCs w:val="0"/>
          <w:color w:val="000000" w:themeColor="text1"/>
          <w:sz w:val="24"/>
          <w:szCs w:val="24"/>
        </w:rPr>
        <w:t xml:space="preserve">, em remessa única. </w:t>
      </w:r>
      <w:r>
        <w:rPr>
          <w:rFonts w:ascii="Times New Roman" w:hAnsi="Times New Roman" w:cs="Times New Roman"/>
          <w:i w:val="0"/>
          <w:iCs w:val="0"/>
          <w:color w:val="000000" w:themeColor="text1"/>
          <w:sz w:val="24"/>
          <w:szCs w:val="24"/>
        </w:rPr>
      </w:r>
      <w:r>
        <w:rPr>
          <w:rFonts w:ascii="Times New Roman" w:hAnsi="Times New Roman" w:cs="Times New Roman"/>
          <w:i w:val="0"/>
          <w:iCs w:val="0"/>
          <w:color w:val="000000" w:themeColor="text1"/>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Os bens deverão ser entregues no seguinte endereço</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Depósito Central de Munição: Estrada RJ-127, km 6 s/n - Cabral, Paracambi - RJ, 26600-000</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Garantia, manutenção e assistência técnica</w:t>
      </w:r>
      <w:r>
        <w:rPr>
          <w:rFonts w:ascii="Times New Roman" w:hAnsi="Times New Roman" w:cs="Times New Roman"/>
          <w:sz w:val="24"/>
          <w:szCs w:val="24"/>
        </w:rPr>
      </w:r>
      <w:r>
        <w:rPr>
          <w:rFonts w:ascii="Times New Roman" w:hAnsi="Times New Roman" w:cs="Times New Roman"/>
          <w:sz w:val="24"/>
          <w:szCs w:val="24"/>
        </w:rPr>
      </w:r>
    </w:p>
    <w:p>
      <w:pPr>
        <w:pStyle w:val="1144"/>
        <w:pBdr/>
        <w:spacing/>
        <w:ind/>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O prazo de garantia é aquele estabelecido na Lei nº 8.078, de 11 de setembro de 1990 (Código de Defesa do Consumidor)</w:t>
      </w:r>
      <w:r>
        <w:rPr>
          <w:rFonts w:ascii="Times New Roman" w:hAnsi="Times New Roman" w:cs="Times New Roman"/>
          <w:i w:val="0"/>
          <w:iCs w:val="0"/>
          <w:color w:val="000000" w:themeColor="text1"/>
          <w:sz w:val="24"/>
          <w:szCs w:val="24"/>
        </w:rPr>
      </w:r>
      <w:r>
        <w:rPr>
          <w:rFonts w:ascii="Times New Roman" w:hAnsi="Times New Roman" w:cs="Times New Roman"/>
          <w:i w:val="0"/>
          <w:iCs w:val="0"/>
          <w:color w:val="000000" w:themeColor="text1"/>
          <w:sz w:val="24"/>
          <w:szCs w:val="24"/>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MODELO DE GESTÃO DO CONTRATO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contrato deverá ser executado fielmente pelas partes, de acordo com as cláusulas avençadas e as normas da Lei nº 14.133, de 2021, e cada parte responderá pelas consequências de sua inexecução total ou parcial.</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Em caso de impedimento, ordem de paralisação ou suspensão do contrato, o cronograma de execução será prorrogado automaticamente pelo tempo correspondente, anotadas tais circunstâncias mediante simples apostila.</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As comunicações entre o órgão ou entidade e a contratada devem ser realizadas por escrito sempre que o ato exigir tal formalidade, admitindo-se o uso de mensagem eletrônica para esse fim.</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órgão ou entidade poderá convocar representante da empresa para adoção de providências que devam ser cumpridas de imediato.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 Após a assinatura do contrato ou instrumento equivalente</w:t>
      </w:r>
      <w:r>
        <w:rPr>
          <w:rFonts w:ascii="Times New Roman" w:hAnsi="Times New Roman" w:cs="Times New Roman"/>
          <w:strike/>
          <w:sz w:val="24"/>
          <w:szCs w:val="24"/>
        </w:rPr>
        <w:t xml:space="preserve">,</w:t>
      </w:r>
      <w:r>
        <w:rPr>
          <w:rFonts w:ascii="Times New Roman" w:hAnsi="Times New Roman" w:cs="Times New Roman"/>
          <w:sz w:val="24"/>
          <w:szCs w:val="24"/>
        </w:rPr>
        <w:t xml:space="preserve"> o órgão ou entidade poderá convocar o representante da empresa contratada para reunião inicial para apresentação do plano de fiscalização, que conterá infor</w:t>
      </w:r>
      <w:r>
        <w:rPr>
          <w:rFonts w:ascii="Times New Roman" w:hAnsi="Times New Roman" w:cs="Times New Roman"/>
          <w:sz w:val="24"/>
          <w:szCs w:val="24"/>
        </w:rPr>
        <w:t xml:space="preserve">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Times New Roman" w:hAnsi="Times New Roman" w:cs="Times New Roman"/>
          <w:sz w:val="24"/>
          <w:szCs w:val="24"/>
        </w:rPr>
      </w:r>
      <w:r>
        <w:rPr>
          <w:rFonts w:ascii="Times New Roman" w:hAnsi="Times New Roman" w:cs="Times New Roman"/>
          <w:sz w:val="24"/>
          <w:szCs w:val="24"/>
        </w:rPr>
      </w:r>
    </w:p>
    <w:p>
      <w:pPr>
        <w:pStyle w:val="1094"/>
        <w:numPr>
          <w:ilvl w:val="1"/>
          <w:numId w:val="0"/>
        </w:numPr>
        <w:pBdr/>
        <w:spacing/>
        <w:ind/>
        <w:rPr>
          <w:rFonts w:ascii="Times New Roman" w:hAnsi="Times New Roman" w:cs="Times New Roman"/>
          <w:b/>
          <w:bCs/>
          <w:sz w:val="24"/>
          <w:szCs w:val="24"/>
        </w:rPr>
      </w:pPr>
      <w:r>
        <w:rPr>
          <w:rFonts w:ascii="Times New Roman" w:hAnsi="Times New Roman" w:cs="Times New Roman"/>
          <w:b/>
          <w:bCs/>
          <w:sz w:val="24"/>
          <w:szCs w:val="24"/>
        </w:rPr>
        <w:t xml:space="preserve">Fiscalização</w:t>
      </w:r>
      <w:r>
        <w:rPr>
          <w:rFonts w:ascii="Times New Roman" w:hAnsi="Times New Roman" w:cs="Times New Roman"/>
          <w:b/>
          <w:bCs/>
          <w:sz w:val="24"/>
          <w:szCs w:val="24"/>
        </w:rPr>
      </w:r>
      <w:r>
        <w:rPr>
          <w:rFonts w:ascii="Times New Roman" w:hAnsi="Times New Roman" w:cs="Times New Roman"/>
          <w:b/>
          <w:bCs/>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A execução do contrato deverá ser acompanhada e fiscalizada pelo(s) fiscal(</w:t>
      </w:r>
      <w:r>
        <w:rPr>
          <w:rFonts w:ascii="Times New Roman" w:hAnsi="Times New Roman" w:cs="Times New Roman"/>
          <w:sz w:val="24"/>
          <w:szCs w:val="24"/>
        </w:rPr>
        <w:t xml:space="preserve">is</w:t>
      </w:r>
      <w:r>
        <w:rPr>
          <w:rFonts w:ascii="Times New Roman" w:hAnsi="Times New Roman" w:cs="Times New Roman"/>
          <w:sz w:val="24"/>
          <w:szCs w:val="24"/>
        </w:rPr>
        <w:t xml:space="preserve">) do contrato, ou pelos respectivos substitutos (</w:t>
      </w:r>
      <w:hyperlink r:id="rId17" w:tooltip="http://www.planalto.gov.br/ccivil_03/_ato2019-2022/2021/lei/L14133.htm#art117" w:anchor="art117" w:history="1">
        <w:r>
          <w:rPr>
            <w:rStyle w:val="1052"/>
            <w:rFonts w:ascii="Times New Roman" w:hAnsi="Times New Roman" w:cs="Times New Roman"/>
            <w:sz w:val="24"/>
            <w:szCs w:val="24"/>
          </w:rPr>
          <w:t xml:space="preserve">Lei nº 14.133, de 2021, art. 117, caput</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Fiscalização Técnica</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fiscal técnico do contrato acompanhará a execução do contrato, para que sejam cumpridas todas as condições estabelecidas no contrato, de modo a assegurar os melhores resultados para a Administração. (Decreto nº 11.246, de 2022, art. 22, VI);</w:t>
      </w:r>
      <w:r>
        <w:rPr>
          <w:rFonts w:ascii="Times New Roman" w:hAnsi="Times New Roman" w:cs="Times New Roman"/>
          <w:sz w:val="24"/>
          <w:szCs w:val="24"/>
        </w:rPr>
      </w:r>
      <w:r>
        <w:rPr>
          <w:rFonts w:ascii="Times New Roman" w:hAnsi="Times New Roman" w:cs="Times New Roman"/>
          <w:sz w:val="24"/>
          <w:szCs w:val="24"/>
        </w:rPr>
      </w:r>
    </w:p>
    <w:p>
      <w:pPr>
        <w:pStyle w:val="1096"/>
        <w:pBdr/>
        <w:spacing/>
        <w:ind/>
        <w:rPr>
          <w:rFonts w:ascii="Times New Roman" w:hAnsi="Times New Roman" w:cs="Times New Roman"/>
          <w:sz w:val="24"/>
          <w:szCs w:val="24"/>
        </w:rPr>
      </w:pPr>
      <w:r>
        <w:rPr>
          <w:rFonts w:ascii="Times New Roman" w:hAnsi="Times New Roman" w:cs="Times New Roman"/>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hyperlink r:id="rId18" w:tooltip="http://www.planalto.gov.br/ccivil_03/_ato2019-2022/2021/lei/L14133.htm#art117§1" w:anchor="art117§1" w:history="1">
        <w:r>
          <w:rPr>
            <w:rStyle w:val="1052"/>
            <w:rFonts w:ascii="Times New Roman" w:hAnsi="Times New Roman" w:cs="Times New Roman"/>
            <w:sz w:val="24"/>
            <w:szCs w:val="24"/>
          </w:rPr>
          <w:t xml:space="preserve">Lei nº 14.133, de 2021, art. 117, §1º</w:t>
        </w:r>
      </w:hyperlink>
      <w:r>
        <w:rPr>
          <w:rFonts w:ascii="Times New Roman" w:hAnsi="Times New Roman" w:cs="Times New Roman"/>
          <w:sz w:val="24"/>
          <w:szCs w:val="24"/>
        </w:rPr>
        <w:t xml:space="preserve">, e </w:t>
      </w:r>
      <w:hyperlink r:id="rId19" w:tooltip="https://www.planalto.gov.br/ccivil_03/_ato2019-2022/2022/Decreto/D11246.htm#art22" w:anchor="art22" w:history="1">
        <w:r>
          <w:rPr>
            <w:rStyle w:val="1052"/>
            <w:rFonts w:ascii="Times New Roman" w:hAnsi="Times New Roman" w:cs="Times New Roman"/>
            <w:sz w:val="24"/>
            <w:szCs w:val="24"/>
          </w:rPr>
          <w:t xml:space="preserve">Decreto nº 11.246, de 2022, art. 22, II);</w:t>
        </w:r>
      </w:hyperlink>
      <w:r>
        <w:rPr>
          <w:rFonts w:ascii="Times New Roman" w:hAnsi="Times New Roman" w:cs="Times New Roman"/>
          <w:sz w:val="24"/>
          <w:szCs w:val="24"/>
        </w:rPr>
      </w:r>
      <w:r>
        <w:rPr>
          <w:rFonts w:ascii="Times New Roman" w:hAnsi="Times New Roman" w:cs="Times New Roman"/>
          <w:sz w:val="24"/>
          <w:szCs w:val="24"/>
        </w:rPr>
      </w:r>
    </w:p>
    <w:p>
      <w:pPr>
        <w:pStyle w:val="1096"/>
        <w:pBdr/>
        <w:spacing/>
        <w:ind/>
        <w:rPr>
          <w:rFonts w:ascii="Times New Roman" w:hAnsi="Times New Roman" w:cs="Times New Roman"/>
          <w:sz w:val="24"/>
          <w:szCs w:val="24"/>
        </w:rPr>
      </w:pPr>
      <w:r>
        <w:rPr>
          <w:rFonts w:ascii="Times New Roman" w:hAnsi="Times New Roman" w:cs="Times New Roman"/>
          <w:sz w:val="24"/>
          <w:szCs w:val="24"/>
        </w:rPr>
        <w:t xml:space="preserve">Identificada qualquer inexatidão ou irregularidade, o fiscal técnico do contrato emitirá notificações para a correção da execução do contrato, determinando prazo para a correção. (</w:t>
      </w:r>
      <w:hyperlink r:id="rId20" w:tooltip="https://www.planalto.gov.br/ccivil_03/_ato2019-2022/2022/Decreto/D11246.htm#art22" w:anchor="art22" w:history="1">
        <w:r>
          <w:rPr>
            <w:rStyle w:val="1052"/>
            <w:rFonts w:ascii="Times New Roman" w:hAnsi="Times New Roman" w:cs="Times New Roman"/>
            <w:sz w:val="24"/>
            <w:szCs w:val="24"/>
          </w:rPr>
          <w:t xml:space="preserve">Decreto nº 11.246, de 2022, art. 22, III</w:t>
        </w:r>
      </w:hyperlink>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1096"/>
        <w:pBdr/>
        <w:spacing/>
        <w:ind/>
        <w:rPr>
          <w:rFonts w:ascii="Times New Roman" w:hAnsi="Times New Roman" w:cs="Times New Roman"/>
          <w:sz w:val="24"/>
          <w:szCs w:val="24"/>
        </w:rPr>
      </w:pPr>
      <w:r>
        <w:rPr>
          <w:rFonts w:ascii="Times New Roman" w:hAnsi="Times New Roman" w:cs="Times New Roman"/>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hyperlink r:id="rId21" w:tooltip="https://www.planalto.gov.br/ccivil_03/_ato2019-2022/2022/Decreto/D11246.htm#art22" w:anchor="art22" w:history="1">
        <w:r>
          <w:rPr>
            <w:rStyle w:val="1052"/>
            <w:rFonts w:ascii="Times New Roman" w:hAnsi="Times New Roman" w:cs="Times New Roman"/>
            <w:sz w:val="24"/>
            <w:szCs w:val="24"/>
          </w:rPr>
          <w:t xml:space="preserve">Decreto nº 11.246, de 2022, art. 22, IV</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6"/>
        <w:pBdr/>
        <w:spacing/>
        <w:ind/>
        <w:rPr>
          <w:rFonts w:ascii="Times New Roman" w:hAnsi="Times New Roman" w:cs="Times New Roman"/>
          <w:sz w:val="24"/>
          <w:szCs w:val="24"/>
        </w:rPr>
      </w:pPr>
      <w:r>
        <w:rPr>
          <w:rFonts w:ascii="Times New Roman" w:hAnsi="Times New Roman" w:cs="Times New Roman"/>
          <w:sz w:val="24"/>
          <w:szCs w:val="24"/>
        </w:rPr>
        <w:t xml:space="preserve">No caso de ocorrências que possam inviabilizar a execução do contrato nas datas aprazadas, o fiscal técnico do contrato comunicará o fato imediatamente ao gestor do contrato. (</w:t>
      </w:r>
      <w:hyperlink r:id="rId22" w:tooltip="https://www.planalto.gov.br/ccivil_03/_ato2019-2022/2022/Decreto/D11246.htm#art22" w:anchor="art22" w:history="1">
        <w:r>
          <w:rPr>
            <w:rStyle w:val="1052"/>
            <w:rFonts w:ascii="Times New Roman" w:hAnsi="Times New Roman" w:cs="Times New Roman"/>
            <w:sz w:val="24"/>
            <w:szCs w:val="24"/>
          </w:rPr>
          <w:t xml:space="preserve">Decreto nº 11.246, de 2022, art. 22, V</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6"/>
        <w:pBdr/>
        <w:spacing/>
        <w:ind/>
        <w:rPr>
          <w:rFonts w:ascii="Times New Roman" w:hAnsi="Times New Roman" w:cs="Times New Roman"/>
          <w:sz w:val="24"/>
          <w:szCs w:val="24"/>
        </w:rPr>
      </w:pPr>
      <w:r>
        <w:rPr>
          <w:rFonts w:ascii="Times New Roman" w:hAnsi="Times New Roman" w:cs="Times New Roman"/>
          <w:sz w:val="24"/>
          <w:szCs w:val="24"/>
        </w:rPr>
        <w:t xml:space="preserve">O fiscal técnico do contrato comunicar</w:t>
      </w:r>
      <w:r>
        <w:rPr>
          <w:rFonts w:ascii="Times New Roman" w:hAnsi="Times New Roman" w:cs="Times New Roman"/>
          <w:sz w:val="24"/>
          <w:szCs w:val="24"/>
        </w:rPr>
        <w:t xml:space="preserve">á</w:t>
      </w:r>
      <w:r>
        <w:rPr>
          <w:rFonts w:ascii="Times New Roman" w:hAnsi="Times New Roman" w:cs="Times New Roman"/>
          <w:sz w:val="24"/>
          <w:szCs w:val="24"/>
        </w:rPr>
        <w:t xml:space="preserve"> ao gestor do contrato, em tempo hábil, o término do contrato sob sua responsabilidade, com vistas à renovação tempestiva ou à prorrogação contratual </w:t>
      </w:r>
      <w:hyperlink r:id="rId23" w:tooltip="https://www.planalto.gov.br/ccivil_03/_ato2019-2022/2022/Decreto/D11246.htm#art22" w:anchor="art22" w:history="1">
        <w:r>
          <w:rPr>
            <w:rStyle w:val="1052"/>
            <w:rFonts w:ascii="Times New Roman" w:hAnsi="Times New Roman" w:cs="Times New Roman"/>
            <w:sz w:val="24"/>
            <w:szCs w:val="24"/>
          </w:rPr>
          <w:t xml:space="preserve">(Decreto nº 11.246, de 2022, art. 22, VII</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6"/>
        <w:numPr>
          <w:ilvl w:val="0"/>
          <w:numId w:val="0"/>
        </w:numPr>
        <w:pBdr/>
        <w:spacing/>
        <w:ind/>
        <w:rPr>
          <w:rFonts w:ascii="Times New Roman" w:hAnsi="Times New Roman" w:cs="Times New Roman"/>
          <w:sz w:val="24"/>
          <w:szCs w:val="24"/>
        </w:rPr>
      </w:pPr>
      <w:r>
        <w:rPr>
          <w:rFonts w:ascii="Times New Roman" w:hAnsi="Times New Roman" w:cs="Times New Roman"/>
          <w:sz w:val="24"/>
          <w:szCs w:val="24"/>
        </w:rPr>
        <w:t xml:space="preserve">Fiscalização Administrativa</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fiscal administrativo do contrato verificará a manutenção das condições de habilitação da contratada, acompanhará o empenho, o pagamento, as garantias, as glosas e a formalização de </w:t>
      </w:r>
      <w:r>
        <w:rPr>
          <w:rFonts w:ascii="Times New Roman" w:hAnsi="Times New Roman" w:cs="Times New Roman"/>
          <w:sz w:val="24"/>
          <w:szCs w:val="24"/>
        </w:rPr>
        <w:t xml:space="preserve">apostilamento e termos aditivos, solicitando quaisquer documentos comprobatórios pertinentes, caso necessário (</w:t>
      </w:r>
      <w:hyperlink r:id="rId24" w:tooltip="https://www.planalto.gov.br/ccivil_03/_ato2019-2022/2022/Decreto/D11246.htm#art23" w:anchor="art23" w:history="1">
        <w:r>
          <w:rPr>
            <w:rStyle w:val="1052"/>
            <w:rFonts w:ascii="Times New Roman" w:hAnsi="Times New Roman" w:cs="Times New Roman"/>
            <w:sz w:val="24"/>
            <w:szCs w:val="24"/>
          </w:rPr>
          <w:t xml:space="preserve">Art. 23, I e II, do Decreto nº 11.246, de 2022</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6"/>
        <w:pBdr/>
        <w:spacing/>
        <w:ind/>
        <w:rPr>
          <w:rFonts w:ascii="Times New Roman" w:hAnsi="Times New Roman" w:cs="Times New Roman"/>
          <w:sz w:val="24"/>
          <w:szCs w:val="24"/>
        </w:rPr>
      </w:pPr>
      <w:r>
        <w:rPr>
          <w:rFonts w:ascii="Times New Roman" w:hAnsi="Times New Roman" w:cs="Times New Roman"/>
          <w:sz w:val="24"/>
          <w:szCs w:val="24"/>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hyperlink r:id="rId25" w:tooltip="https://www.planalto.gov.br/ccivil_03/_ato2019-2022/2022/Decreto/D11246.htm#art23" w:anchor="art23" w:history="1">
        <w:r>
          <w:rPr>
            <w:rStyle w:val="1052"/>
            <w:rFonts w:ascii="Times New Roman" w:hAnsi="Times New Roman" w:cs="Times New Roman"/>
            <w:sz w:val="24"/>
            <w:szCs w:val="24"/>
          </w:rPr>
          <w:t xml:space="preserve">Decreto nº 11.246, de 2022, art. 23, IV</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i/>
          <w:iCs/>
          <w:sz w:val="24"/>
          <w:szCs w:val="24"/>
        </w:rPr>
      </w:pPr>
      <w:r>
        <w:rPr>
          <w:rFonts w:ascii="Times New Roman" w:hAnsi="Times New Roman" w:cs="Times New Roman"/>
          <w:sz w:val="24"/>
          <w:szCs w:val="24"/>
        </w:rPr>
        <w:t xml:space="preserve">Gestor do Contrato</w:t>
      </w:r>
      <w:r>
        <w:rPr>
          <w:rFonts w:ascii="Times New Roman" w:hAnsi="Times New Roman" w:cs="Times New Roman"/>
          <w:i/>
          <w:iCs/>
          <w:sz w:val="24"/>
          <w:szCs w:val="24"/>
        </w:rPr>
      </w:r>
      <w:r>
        <w:rPr>
          <w:rFonts w:ascii="Times New Roman" w:hAnsi="Times New Roman" w:cs="Times New Roman"/>
          <w:i/>
          <w:iCs/>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w:t>
      </w:r>
      <w:r>
        <w:rPr>
          <w:rFonts w:ascii="Times New Roman" w:hAnsi="Times New Roman" w:cs="Times New Roman"/>
          <w:sz w:val="24"/>
          <w:szCs w:val="24"/>
        </w:rPr>
        <w:t xml:space="preserve">gistro de ocorrências, das alterações e das prorrogações contratuais, elaborando relatório com vistas à verificação da necessidade de adequações do contrato para fins de atendimento da finalidade da administração. (Decreto nº 11.246, de 2022, art. 21, IV).</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gestor do contrato acompanhará os registros re</w:t>
      </w:r>
      <w:r>
        <w:rPr>
          <w:rFonts w:ascii="Times New Roman" w:hAnsi="Times New Roman" w:cs="Times New Roman"/>
          <w:sz w:val="24"/>
          <w:szCs w:val="24"/>
        </w:rPr>
        <w:t xml:space="preserve">alizados pelos fiscais do contrato, de todas as ocorrências relacionadas à execução do contrato e as medidas adotadas, informando, se for o caso, à autoridade superior àquelas que ultrapassarem a sua competência. (Decreto nº 11.246, de 2022, art. 21, II). </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gestor do contrato acompanhará a manutenção </w:t>
      </w:r>
      <w:r>
        <w:rPr>
          <w:rFonts w:ascii="Times New Roman" w:hAnsi="Times New Roman" w:cs="Times New Roman"/>
          <w:sz w:val="24"/>
          <w:szCs w:val="24"/>
        </w:rPr>
        <w:t xml:space="preserve">das condições de habilitação da contratada, para fins de empenho de despesa e pagamento, e anotará os problemas que obstem o fluxo normal da liquidação e do pagamento da despesa no relatório de riscos eventuais. (Decreto nº 11.246, de 2022, art. 21, III). </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gestor do contrato emitirá documento comprobatório da avaliação realizada pelos fiscais técnico, administrativo e setorial quanto ao cumprimento de obrigações assumidas pelo contratado, com men</w:t>
      </w:r>
      <w:r>
        <w:rPr>
          <w:rFonts w:ascii="Times New Roman" w:hAnsi="Times New Roman" w:cs="Times New Roman"/>
          <w:sz w:val="24"/>
          <w:szCs w:val="24"/>
        </w:rPr>
        <w:t xml:space="preserve">ção ao seu desempenho na execução contratual, baseado nos indicadores objetivamente definidos e aferidos, e a eventuais penalidades aplicadas, devendo constar do cadastro de atesto de cumprimento de obrigações. (Decreto nº 11.246, de 2022, art. 21, VIII). </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gestor do contrato tomará providências para a formalização de processo administra</w:t>
      </w:r>
      <w:r>
        <w:rPr>
          <w:rFonts w:ascii="Times New Roman" w:hAnsi="Times New Roman" w:cs="Times New Roman"/>
          <w:sz w:val="24"/>
          <w:szCs w:val="24"/>
        </w:rPr>
        <w:t xml:space="preserve">tivo de responsabilização para fins de aplicação de sanções, a ser conduzido pela comissão de que trata o art. 158 da Lei nº 14.133, de 2021, ou pelo agente ou pelo setor com competência para tal, conforme o caso. (Decreto nº 11.246, de 2022, art. 21, X). </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gestor do contra</w:t>
      </w:r>
      <w:r>
        <w:rPr>
          <w:rFonts w:ascii="Times New Roman" w:hAnsi="Times New Roman" w:cs="Times New Roman"/>
          <w:sz w:val="24"/>
          <w:szCs w:val="24"/>
        </w:rPr>
        <w:t xml:space="preserve">to deverá elaborar relatório final com informações sobre a consecução dos objetivos que tenham justificado a contratação e eventuais condutas a serem adotadas para o aprimoramento das atividades da Administração. (Decreto nº 11.246, de 2022, art. 21, VI). </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gestor do contrato deverá enviar a documentação pertinente ao setor de contratos para a formalização dos procedimentos de liquidação e pagamento, no valor dimensionado pela fiscalização e gestão nos termos do contrato.</w:t>
      </w:r>
      <w:r>
        <w:rPr>
          <w:rFonts w:ascii="Times New Roman" w:hAnsi="Times New Roman" w:cs="Times New Roman"/>
          <w:sz w:val="24"/>
          <w:szCs w:val="24"/>
        </w:rPr>
      </w:r>
      <w:r>
        <w:rPr>
          <w:rFonts w:ascii="Times New Roman" w:hAnsi="Times New Roman" w:cs="Times New Roman"/>
          <w:sz w:val="24"/>
          <w:szCs w:val="24"/>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CRITÉRIOS DE MEDIÇÃO E DE PAGAMENTO</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Recebimento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Os bens serão recebidos provisoriamente, de forma sumária</w:t>
      </w:r>
      <w:r>
        <w:rPr>
          <w:rFonts w:ascii="Times New Roman" w:hAnsi="Times New Roman" w:cs="Times New Roman"/>
          <w:sz w:val="24"/>
          <w:szCs w:val="24"/>
          <w:lang w:eastAsia="en-US"/>
        </w:rPr>
        <w:t xml:space="preserve">, no ato da entrega, juntamente com a </w:t>
      </w:r>
      <w:r>
        <w:rPr>
          <w:rFonts w:ascii="Times New Roman" w:hAnsi="Times New Roman" w:eastAsia="Calibri" w:cs="Times New Roman"/>
          <w:sz w:val="24"/>
          <w:szCs w:val="24"/>
          <w:lang w:eastAsia="en-US"/>
        </w:rPr>
        <w:t xml:space="preserve">nota</w:t>
      </w:r>
      <w:r>
        <w:rPr>
          <w:rFonts w:ascii="Times New Roman" w:hAnsi="Times New Roman" w:cs="Times New Roman"/>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rFonts w:ascii="Times New Roman" w:hAnsi="Times New Roman" w:cs="Times New Roman"/>
          <w:color w:val="ff0000"/>
          <w:sz w:val="24"/>
          <w:szCs w:val="24"/>
          <w:lang w:eastAsia="en-US"/>
        </w:rPr>
        <w:t xml:space="preserve"> </w:t>
      </w:r>
      <w:r>
        <w:rPr>
          <w:rFonts w:ascii="Times New Roman" w:hAnsi="Times New Roman" w:cs="Times New Roman"/>
          <w:sz w:val="24"/>
          <w:szCs w:val="24"/>
          <w:lang w:eastAsia="en-US"/>
        </w:rPr>
        <w:t xml:space="preserve">e na proposta.</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Os bens poderão ser rejeitados, no todo ou em parte, inclusive antes do recebimento provisório, quando em desacordo com as especificações constantes no Termo de Referência</w:t>
      </w:r>
      <w:r>
        <w:rPr>
          <w:rFonts w:ascii="Times New Roman" w:hAnsi="Times New Roman" w:cs="Times New Roman"/>
          <w:color w:val="ff0000"/>
          <w:sz w:val="24"/>
          <w:szCs w:val="24"/>
          <w:lang w:eastAsia="en-US"/>
        </w:rPr>
        <w:t xml:space="preserve"> </w:t>
      </w:r>
      <w:r>
        <w:rPr>
          <w:rFonts w:ascii="Times New Roman" w:hAnsi="Times New Roman" w:cs="Times New Roman"/>
          <w:sz w:val="24"/>
          <w:szCs w:val="24"/>
          <w:lang w:eastAsia="en-US"/>
        </w:rPr>
        <w:t xml:space="preserve">e na proposta, devendo ser substituídos no prazo de </w:t>
      </w:r>
      <w:r>
        <w:rPr>
          <w:rFonts w:ascii="Times New Roman" w:hAnsi="Times New Roman" w:cs="Times New Roman"/>
          <w:sz w:val="24"/>
          <w:szCs w:val="24"/>
          <w:lang w:eastAsia="en-US"/>
        </w:rPr>
        <w:t xml:space="preserve">10</w:t>
      </w:r>
      <w:r>
        <w:rPr>
          <w:rFonts w:ascii="Times New Roman" w:hAnsi="Times New Roman" w:cs="Times New Roman"/>
          <w:color w:val="ff0000"/>
          <w:sz w:val="24"/>
          <w:szCs w:val="24"/>
          <w:lang w:eastAsia="en-US"/>
        </w:rPr>
        <w:t xml:space="preserve"> </w:t>
      </w:r>
      <w:r>
        <w:rPr>
          <w:rFonts w:ascii="Times New Roman" w:hAnsi="Times New Roman" w:cs="Times New Roman"/>
          <w:color w:val="000000" w:themeColor="text1"/>
          <w:sz w:val="24"/>
          <w:szCs w:val="24"/>
          <w:lang w:eastAsia="en-US"/>
        </w:rPr>
        <w:t xml:space="preserve">(</w:t>
      </w:r>
      <w:r>
        <w:rPr>
          <w:rFonts w:ascii="Times New Roman" w:hAnsi="Times New Roman" w:cs="Times New Roman"/>
          <w:color w:val="000000" w:themeColor="text1"/>
          <w:sz w:val="24"/>
          <w:szCs w:val="24"/>
          <w:lang w:eastAsia="en-US"/>
        </w:rPr>
        <w:t xml:space="preserve">dez</w:t>
      </w:r>
      <w:r>
        <w:rPr>
          <w:rFonts w:ascii="Times New Roman" w:hAnsi="Times New Roman" w:cs="Times New Roman"/>
          <w:color w:val="000000" w:themeColor="text1"/>
          <w:sz w:val="24"/>
          <w:szCs w:val="24"/>
          <w:lang w:eastAsia="en-US"/>
        </w:rPr>
        <w:t xml:space="preserve">)</w:t>
      </w:r>
      <w:r>
        <w:rPr>
          <w:rFonts w:ascii="Times New Roman" w:hAnsi="Times New Roman" w:cs="Times New Roman"/>
          <w:color w:val="ff0000"/>
          <w:sz w:val="24"/>
          <w:szCs w:val="24"/>
          <w:lang w:eastAsia="en-US"/>
        </w:rPr>
        <w:t xml:space="preserve"> </w:t>
      </w:r>
      <w:r>
        <w:rPr>
          <w:rFonts w:ascii="Times New Roman" w:hAnsi="Times New Roman" w:cs="Times New Roman"/>
          <w:sz w:val="24"/>
          <w:szCs w:val="24"/>
          <w:lang w:eastAsia="en-US"/>
        </w:rPr>
        <w:t xml:space="preserve">dias, a contar da notificação da contratada, às suas custas, sem prejuízo da aplicação das penalidades.</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recebimento definitivo ocorrerá no prazo de </w:t>
      </w:r>
      <w:r>
        <w:rPr>
          <w:rFonts w:ascii="Times New Roman" w:hAnsi="Times New Roman" w:cs="Times New Roman"/>
          <w:sz w:val="24"/>
          <w:szCs w:val="24"/>
          <w:lang w:eastAsia="en-US"/>
        </w:rPr>
        <w:t xml:space="preserve">10 (dez)</w:t>
      </w:r>
      <w:r>
        <w:rPr>
          <w:rFonts w:ascii="Times New Roman" w:hAnsi="Times New Roman" w:cs="Times New Roman"/>
          <w:color w:val="ff0000"/>
          <w:sz w:val="24"/>
          <w:szCs w:val="24"/>
          <w:lang w:eastAsia="en-US"/>
        </w:rPr>
        <w:t xml:space="preserve"> </w:t>
      </w:r>
      <w:r>
        <w:rPr>
          <w:rFonts w:ascii="Times New Roman" w:hAnsi="Times New Roman" w:cs="Times New Roman"/>
          <w:color w:val="000000" w:themeColor="text1"/>
          <w:sz w:val="24"/>
          <w:szCs w:val="24"/>
          <w:lang w:eastAsia="en-US"/>
        </w:rPr>
        <w:t xml:space="preserve">dias úteis, </w:t>
      </w:r>
      <w:r>
        <w:rPr>
          <w:rFonts w:ascii="Times New Roman" w:hAnsi="Times New Roman" w:cs="Times New Roman"/>
          <w:sz w:val="24"/>
          <w:szCs w:val="24"/>
          <w:lang w:eastAsia="en-US"/>
        </w:rPr>
        <w:t xml:space="preserve">a contar do recebimento da nota fiscal ou instrumento de cobrança equivalente pela Administração, após a verificação da qualidade e quantidade do material e consequente aceitação mediante termo detalhado.</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Para as contratações decorrentes de despesas cujos valores não ultrapassem o limite de que trata o </w:t>
      </w:r>
      <w:hyperlink r:id="rId26" w:tooltip="http://www.planalto.gov.br/ccivil_03/_ato2019-2022/2021/lei/L14133.htm#art75" w:anchor="art75" w:history="1">
        <w:r>
          <w:rPr>
            <w:rStyle w:val="1052"/>
            <w:rFonts w:ascii="Times New Roman" w:hAnsi="Times New Roman" w:cs="Times New Roman"/>
            <w:sz w:val="24"/>
            <w:szCs w:val="24"/>
            <w:lang w:eastAsia="en-US"/>
          </w:rPr>
          <w:t xml:space="preserve">inciso II do art. 75 da Lei nº 14.133, de 2021</w:t>
        </w:r>
      </w:hyperlink>
      <w:r>
        <w:rPr>
          <w:rFonts w:ascii="Times New Roman" w:hAnsi="Times New Roman" w:cs="Times New Roman"/>
          <w:sz w:val="24"/>
          <w:szCs w:val="24"/>
          <w:lang w:eastAsia="en-US"/>
        </w:rPr>
        <w:t xml:space="preserve">, o prazo máximo para o recebimento definitivo será de até </w:t>
      </w:r>
      <w:r>
        <w:rPr>
          <w:rFonts w:ascii="Times New Roman" w:hAnsi="Times New Roman" w:cs="Times New Roman"/>
          <w:sz w:val="24"/>
          <w:szCs w:val="24"/>
          <w:lang w:eastAsia="en-US"/>
        </w:rPr>
        <w:t xml:space="preserve">15</w:t>
      </w:r>
      <w:r>
        <w:rPr>
          <w:rFonts w:ascii="Times New Roman" w:hAnsi="Times New Roman" w:cs="Times New Roman"/>
          <w:color w:val="ff0000"/>
          <w:sz w:val="24"/>
          <w:szCs w:val="24"/>
          <w:lang w:eastAsia="en-US"/>
        </w:rPr>
        <w:t xml:space="preserve"> </w:t>
      </w:r>
      <w:r>
        <w:rPr>
          <w:rFonts w:ascii="Times New Roman" w:hAnsi="Times New Roman" w:cs="Times New Roman"/>
          <w:color w:val="000000" w:themeColor="text1"/>
          <w:sz w:val="24"/>
          <w:szCs w:val="24"/>
          <w:lang w:eastAsia="en-US"/>
        </w:rPr>
        <w:t xml:space="preserve">(</w:t>
      </w:r>
      <w:r>
        <w:rPr>
          <w:rFonts w:ascii="Times New Roman" w:hAnsi="Times New Roman" w:cs="Times New Roman"/>
          <w:color w:val="000000" w:themeColor="text1"/>
          <w:sz w:val="24"/>
          <w:szCs w:val="24"/>
          <w:lang w:eastAsia="en-US"/>
        </w:rPr>
        <w:t xml:space="preserve">quinze</w:t>
      </w:r>
      <w:r>
        <w:rPr>
          <w:rFonts w:ascii="Times New Roman" w:hAnsi="Times New Roman" w:cs="Times New Roman"/>
          <w:color w:val="000000" w:themeColor="text1"/>
          <w:sz w:val="24"/>
          <w:szCs w:val="24"/>
          <w:lang w:eastAsia="en-US"/>
        </w:rPr>
        <w:t xml:space="preserve">)</w:t>
      </w:r>
      <w:r>
        <w:rPr>
          <w:rFonts w:ascii="Times New Roman" w:hAnsi="Times New Roman" w:cs="Times New Roman"/>
          <w:color w:val="ff0000"/>
          <w:sz w:val="24"/>
          <w:szCs w:val="24"/>
          <w:lang w:eastAsia="en-US"/>
        </w:rPr>
        <w:t xml:space="preserve"> </w:t>
      </w:r>
      <w:r>
        <w:rPr>
          <w:rFonts w:ascii="Times New Roman" w:hAnsi="Times New Roman" w:cs="Times New Roman"/>
          <w:sz w:val="24"/>
          <w:szCs w:val="24"/>
          <w:lang w:eastAsia="en-US"/>
        </w:rPr>
        <w:t xml:space="preserve">dias úteis.</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prazo para recebimento definitivo poderá ser excepcionalmente prorrogado, </w:t>
      </w:r>
      <w:r>
        <w:rPr>
          <w:rFonts w:ascii="Times New Roman" w:hAnsi="Times New Roman" w:cs="Times New Roman"/>
          <w:color w:val="auto"/>
          <w:sz w:val="24"/>
          <w:szCs w:val="24"/>
          <w:lang w:eastAsia="en-US"/>
        </w:rPr>
        <w:t xml:space="preserve">de forma justificada, por igual período, quando houver necessidade de diligências para a aferição do ate</w:t>
      </w:r>
      <w:r>
        <w:rPr>
          <w:rFonts w:ascii="Times New Roman" w:hAnsi="Times New Roman" w:cs="Times New Roman"/>
          <w:sz w:val="24"/>
          <w:szCs w:val="24"/>
          <w:lang w:eastAsia="en-US"/>
        </w:rPr>
        <w:t xml:space="preserve">ndimento das exigências contratuais.</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No caso de controvérsia sobre a execução do objeto, quanto à dimensão, qualidade e quantidade, deverá ser observado o teor do </w:t>
      </w:r>
      <w:hyperlink r:id="rId27" w:tooltip="http://www.planalto.gov.br/ccivil_03/_ato2019-2022/2021/lei/L14133.htm#art143" w:anchor="art143" w:history="1">
        <w:r>
          <w:rPr>
            <w:rStyle w:val="1052"/>
            <w:rFonts w:ascii="Times New Roman" w:hAnsi="Times New Roman" w:cs="Times New Roman"/>
            <w:sz w:val="24"/>
            <w:szCs w:val="24"/>
            <w:lang w:eastAsia="en-US"/>
          </w:rPr>
          <w:t xml:space="preserve">art. 143 da Lei nº 14.133, de 2021</w:t>
        </w:r>
      </w:hyperlink>
      <w:r>
        <w:rPr>
          <w:rFonts w:ascii="Times New Roman" w:hAnsi="Times New Roman" w:cs="Times New Roman"/>
          <w:sz w:val="24"/>
          <w:szCs w:val="24"/>
          <w:lang w:eastAsia="en-US"/>
        </w:rPr>
        <w:t xml:space="preserve">, comunicando-se à empresa para emissão de Nota Fiscal no que </w:t>
      </w:r>
      <w:r>
        <w:rPr>
          <w:rFonts w:ascii="Times New Roman" w:hAnsi="Times New Roman" w:cs="Times New Roman"/>
          <w:sz w:val="24"/>
          <w:szCs w:val="24"/>
          <w:lang w:eastAsia="en-US"/>
        </w:rPr>
        <w:t xml:space="preserve">pertine</w:t>
      </w:r>
      <w:r>
        <w:rPr>
          <w:rFonts w:ascii="Times New Roman" w:hAnsi="Times New Roman" w:cs="Times New Roman"/>
          <w:sz w:val="24"/>
          <w:szCs w:val="24"/>
          <w:lang w:eastAsia="en-US"/>
        </w:rPr>
        <w:t xml:space="preserve"> à parcela incontroversa da execução do objeto, para efeito de liquidação e pagamento.</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prazo para a solução, pelo contratado,</w:t>
      </w:r>
      <w:r>
        <w:rPr>
          <w:rFonts w:ascii="Times New Roman" w:hAnsi="Times New Roman" w:cs="Times New Roman"/>
          <w:sz w:val="24"/>
          <w:szCs w:val="24"/>
          <w:lang w:eastAsia="en-US"/>
        </w:rPr>
        <w:t xml:space="preserve"> de inconsistências na execução do objeto ou de saneamento da nota fiscal ou de instrumento de cobrança equivalente, verificadas pela Administração durante a análise prévia à liquidação de despesa, não será computado para os fins do recebimento definitivo.</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recebimento provisório ou definitivo não excluirá a responsabilidade civil pela solidez e pela segurança </w:t>
      </w:r>
      <w:r>
        <w:rPr>
          <w:rFonts w:ascii="Times New Roman" w:hAnsi="Times New Roman" w:cs="Times New Roman"/>
          <w:sz w:val="24"/>
          <w:szCs w:val="24"/>
          <w:lang w:eastAsia="en-US"/>
        </w:rPr>
        <w:t xml:space="preserve">dos bens </w:t>
      </w:r>
      <w:r>
        <w:rPr>
          <w:rFonts w:ascii="Times New Roman" w:hAnsi="Times New Roman" w:cs="Times New Roman"/>
          <w:sz w:val="24"/>
          <w:szCs w:val="24"/>
          <w:lang w:eastAsia="en-US"/>
        </w:rPr>
        <w:t xml:space="preserve">nem a responsabilidade ético-profissional pela perfeita execução do contrato.</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Liquidaçã</w:t>
      </w:r>
      <w:r>
        <w:rPr>
          <w:rFonts w:ascii="Times New Roman" w:hAnsi="Times New Roman" w:cs="Times New Roman"/>
          <w:sz w:val="24"/>
          <w:szCs w:val="24"/>
        </w:rPr>
        <w:t xml:space="preserve">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Recebida a Nota Fiscal ou documento de cobrança equivalente, correrá o prazo de dez dias úteis para fins de liquidação, na forma desta seção, prorrogáveis por igual período, nos termos do </w:t>
      </w:r>
      <w:r>
        <w:rPr>
          <w:rFonts w:ascii="Times New Roman" w:hAnsi="Times New Roman" w:cs="Times New Roman"/>
          <w:sz w:val="24"/>
          <w:szCs w:val="24"/>
          <w:lang w:eastAsia="en-US"/>
        </w:rPr>
        <w:t xml:space="preserve">art. 7º, §</w:t>
      </w:r>
      <w:r>
        <w:rPr>
          <w:rFonts w:ascii="Times New Roman" w:hAnsi="Times New Roman" w:cs="Times New Roman"/>
          <w:sz w:val="24"/>
          <w:szCs w:val="24"/>
          <w:lang w:eastAsia="en-US"/>
        </w:rPr>
        <w:t xml:space="preserve">3</w:t>
      </w:r>
      <w:r>
        <w:rPr>
          <w:rStyle w:val="1052"/>
          <w:rFonts w:ascii="Times New Roman" w:hAnsi="Times New Roman" w:cs="Times New Roman"/>
          <w:sz w:val="24"/>
          <w:szCs w:val="24"/>
          <w:lang w:eastAsia="en-US"/>
        </w:rPr>
        <w:t xml:space="preserve">º da Instrução Normativa SEGES/ME nº 77/2022</w:t>
      </w:r>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rPr>
      </w:pPr>
      <w:r>
        <w:rPr>
          <w:rFonts w:ascii="Times New Roman" w:hAnsi="Times New Roman" w:cs="Times New Roman"/>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8" w:tooltip="http://www.planalto.gov.br/ccivil_03/_ato2019-2022/2021/lei/L14133.htm#art75" w:anchor="art75" w:history="1">
        <w:r>
          <w:rPr>
            <w:rStyle w:val="1052"/>
            <w:rFonts w:ascii="Times New Roman" w:hAnsi="Times New Roman" w:cs="Times New Roman"/>
            <w:sz w:val="24"/>
            <w:szCs w:val="24"/>
          </w:rPr>
          <w:t xml:space="preserve">inciso II do art. 75 da Lei nº 14.133, de 2021</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prazo de validade;</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a data da emissão;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os dados do contrato e do órgão contratante;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período respectivo de execução do contrato;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valor a pagar; e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eventual destaque do valor de retenções tributárias cabíveis.</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eastAsia="Calibri" w:cs="Times New Roman"/>
          <w:sz w:val="24"/>
          <w:szCs w:val="24"/>
          <w:lang w:eastAsia="en-US"/>
        </w:rPr>
        <w:t xml:space="preserve"> Havendo erro na apresentação da nota fiscal ou instrumento de cobrança equivalente, ou circunstância que impeça a </w:t>
      </w:r>
      <w:r>
        <w:rPr>
          <w:rFonts w:ascii="Times New Roman" w:hAnsi="Times New Roman" w:cs="Times New Roman"/>
          <w:sz w:val="24"/>
          <w:szCs w:val="24"/>
          <w:lang w:eastAsia="en-US"/>
        </w:rPr>
        <w:t xml:space="preserve">liquidação da despesa, esta ficará sobrestada até que o contratado providencie as medidas saneadoras, reiniciando-se o prazo após a comprovação da regularização da situação, sem ônus ao contratante;</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 A nota fiscal ou instrumento de cobrança equivalente deverá ser obrigatoriamente acompanhado da comprovação da regularidade fiscal, constatada por meio de consulta </w:t>
      </w:r>
      <w:r>
        <w:rPr>
          <w:rFonts w:ascii="Times New Roman" w:hAnsi="Times New Roman" w:cs="Times New Roman"/>
          <w:i/>
          <w:iCs/>
          <w:sz w:val="24"/>
          <w:szCs w:val="24"/>
          <w:lang w:eastAsia="en-US"/>
        </w:rPr>
        <w:t xml:space="preserve">on-line</w:t>
      </w:r>
      <w:r>
        <w:rPr>
          <w:rFonts w:ascii="Times New Roman" w:hAnsi="Times New Roman" w:cs="Times New Roman"/>
          <w:sz w:val="24"/>
          <w:szCs w:val="24"/>
          <w:lang w:eastAsia="en-US"/>
        </w:rPr>
        <w:t xml:space="preserve"> ao SICAF ou, na impossibilidade de acesso ao referido Sistema, mediante consulta aos sítios eletrônicos oficiais ou à documentação mencionada no </w:t>
      </w:r>
      <w:hyperlink r:id="rId29" w:tooltip="http://www.planalto.gov.br/ccivil_03/_ato2019-2022/2021/lei/L14133.htm#art68" w:anchor="art68" w:history="1">
        <w:r>
          <w:rPr>
            <w:rStyle w:val="1052"/>
            <w:rFonts w:ascii="Times New Roman" w:hAnsi="Times New Roman" w:cs="Times New Roman"/>
            <w:sz w:val="24"/>
            <w:szCs w:val="24"/>
            <w:lang w:eastAsia="en-US"/>
          </w:rPr>
          <w:t xml:space="preserve">art. 68 da Lei nº 14.133, de 2021.  </w:t>
        </w:r>
      </w:hyperlink>
      <w:r>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A Administração deverá realizar consulta ao SICAF para: a) verificar a manutenção das condições de habilitação exigidas; b) </w:t>
      </w:r>
      <w:r>
        <w:rPr>
          <w:rFonts w:ascii="Times New Roman" w:hAnsi="Times New Roman" w:cs="Times New Roman"/>
          <w:sz w:val="24"/>
          <w:szCs w:val="24"/>
        </w:rPr>
        <w:t xml:space="preserve">identificar possível razão que impeça a </w:t>
      </w:r>
      <w:r>
        <w:rPr>
          <w:rFonts w:ascii="Times New Roman" w:hAnsi="Times New Roman" w:cs="Times New Roman"/>
          <w:sz w:val="24"/>
          <w:szCs w:val="24"/>
        </w:rPr>
        <w:t xml:space="preserve">contratação </w:t>
      </w:r>
      <w:r>
        <w:rPr>
          <w:rFonts w:ascii="Times New Roman" w:hAnsi="Times New Roman" w:cs="Times New Roman"/>
          <w:sz w:val="24"/>
          <w:szCs w:val="24"/>
        </w:rPr>
        <w:t xml:space="preserve">no âmbito do órgão ou entidade,</w:t>
      </w:r>
      <w:r>
        <w:rPr>
          <w:rFonts w:ascii="Times New Roman" w:hAnsi="Times New Roman" w:cs="Times New Roman"/>
          <w:sz w:val="24"/>
          <w:szCs w:val="24"/>
        </w:rPr>
        <w:t xml:space="preserve"> tais como a</w:t>
      </w:r>
      <w:r>
        <w:rPr>
          <w:rFonts w:ascii="Times New Roman" w:hAnsi="Times New Roman" w:cs="Times New Roman"/>
          <w:sz w:val="24"/>
          <w:szCs w:val="24"/>
        </w:rPr>
        <w:t xml:space="preserve"> proibição de contratar com </w:t>
      </w:r>
      <w:r>
        <w:rPr>
          <w:rFonts w:ascii="Times New Roman" w:hAnsi="Times New Roman" w:cs="Times New Roman"/>
          <w:sz w:val="24"/>
          <w:szCs w:val="24"/>
        </w:rPr>
        <w:t xml:space="preserve">a Administração ou com o</w:t>
      </w:r>
      <w:r>
        <w:rPr>
          <w:rFonts w:ascii="Times New Roman" w:hAnsi="Times New Roman" w:cs="Times New Roman"/>
          <w:sz w:val="24"/>
          <w:szCs w:val="24"/>
        </w:rPr>
        <w:t xml:space="preserve"> Poder Público,</w:t>
      </w:r>
      <w:r>
        <w:rPr>
          <w:rFonts w:ascii="Times New Roman" w:hAnsi="Times New Roman" w:cs="Times New Roman"/>
          <w:sz w:val="24"/>
          <w:szCs w:val="24"/>
        </w:rPr>
        <w:t xml:space="preserve"> bem como ocorrências impeditivas indiretas (INSTRUÇÃO NORMATIVA Nº 3, DE 26 DE ABRIL DE 2018).</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Constatando-se, junto ao SICAF, a situação de irregularidade do</w:t>
      </w:r>
      <w:r>
        <w:rPr>
          <w:rFonts w:ascii="Times New Roman" w:hAnsi="Times New Roman" w:cs="Times New Roman"/>
          <w:sz w:val="24"/>
          <w:szCs w:val="24"/>
          <w:lang w:eastAsia="en-US"/>
        </w:rPr>
        <w:t xml:space="preserve"> contratado, será providenciada sua notificação, por escrito, para que, no prazo de 5 (cinco) dias úteis, regularize sua situação ou, no mesmo prazo, apresente sua defesa. O prazo poderá ser prorrogado uma vez, por igual período, a critério do contratante.</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Não havendo regularização ou sendo a defesa considerada improcedente, o contratante deverá comunicar aos órgãos r</w:t>
      </w:r>
      <w:r>
        <w:rPr>
          <w:rFonts w:ascii="Times New Roman" w:hAnsi="Times New Roman" w:cs="Times New Roman"/>
          <w:sz w:val="24"/>
          <w:szCs w:val="24"/>
          <w:lang w:eastAsia="en-US"/>
        </w:rPr>
        <w:t xml:space="preserve">esponsáveis pela fiscalização da regularidade fiscal quanto à inadimplência do contratado, bem como quanto à existência de pagamento a ser efetuado, para que sejam acionados os meios pertinentes e necessários para garantir o recebimento de seus créditos.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Persistindo a irregularidade, o contratante deverá adotar as medidas necessárias à rescisão contratual nos autos do processo administrativo correspondente, assegurada ao contratado a ampla defesa.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Havendo a efetiva execução do objeto, os pagamentos serão realizados normalmente, até que se decida pela rescisão do contrato, caso o contratado não regularize sua situação junto ao SICAF.  </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Prazo de pagamento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pagamento será efetuado no prazo de até 10 (dez) dias úteis contados da finalização da liquidação da despesa, conforme seção anterior, nos termos da </w:t>
      </w:r>
      <w:hyperlink r:id="rId30" w:tooltip="https://in.gov.br/en/web/dou/-/instrucao-normativa-seges/me-n-77-de-4-de-novembro-de-2022-441681061" w:history="1">
        <w:r>
          <w:rPr>
            <w:rStyle w:val="1052"/>
            <w:rFonts w:ascii="Times New Roman" w:hAnsi="Times New Roman" w:cs="Times New Roman"/>
            <w:sz w:val="24"/>
            <w:szCs w:val="24"/>
          </w:rPr>
          <w:t xml:space="preserve">Instrução Normativa SEGES/ME nº 77, de 2022</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Times New Roman" w:hAnsi="Times New Roman" w:cs="Times New Roman"/>
          <w:color w:val="000000" w:themeColor="text1"/>
          <w:sz w:val="24"/>
          <w:szCs w:val="24"/>
          <w:lang w:eastAsia="en-US"/>
        </w:rPr>
        <w:t xml:space="preserve">IPCA</w:t>
      </w:r>
      <w:r>
        <w:rPr>
          <w:rFonts w:ascii="Times New Roman" w:hAnsi="Times New Roman" w:cs="Times New Roman"/>
          <w:sz w:val="24"/>
          <w:szCs w:val="24"/>
          <w:lang w:eastAsia="en-US"/>
        </w:rPr>
        <w:t xml:space="preserve"> de correção monetária.</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Forma de pagamento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pagamento será realizado por meio de ordem bancária, para crédito em banco, agência e conta corrente indicados pelo contratado.</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Será considerada data do pagamento o dia em que constar como emitida a ordem bancária para pagamento.</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Quando do pagamento, será efetuada a retenção tributária prevista na legislação aplicável.</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6"/>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Independentemente do percentual de tributo inserido na planilha, quando houver, serão retidos na fonte, quando da realização do pagamento, os percentuais estabelecidos na legislação vigente.</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O contratado regularmente optante pelo Simples Nacional, nos termos da </w:t>
      </w:r>
      <w:hyperlink r:id="rId31" w:tooltip="https://www.planalto.gov.br/ccivil_03/leis/lcp/lcp123.htm" w:history="1">
        <w:r>
          <w:rPr>
            <w:rStyle w:val="1052"/>
            <w:rFonts w:ascii="Times New Roman" w:hAnsi="Times New Roman" w:cs="Times New Roman"/>
            <w:sz w:val="24"/>
            <w:szCs w:val="24"/>
            <w:lang w:eastAsia="en-US"/>
          </w:rPr>
          <w:t xml:space="preserve">Lei Complementar nº 123, de 2006</w:t>
        </w:r>
      </w:hyperlink>
      <w:r>
        <w:rPr>
          <w:rFonts w:ascii="Times New Roman" w:hAnsi="Times New Roman" w:cs="Times New Roman"/>
          <w:sz w:val="24"/>
          <w:szCs w:val="24"/>
          <w:lang w:eastAsia="en-US"/>
        </w:rPr>
        <w:t xml:space="preserve">, não sofrerá a retenção tributária quant</w:t>
      </w:r>
      <w:r>
        <w:rPr>
          <w:rFonts w:ascii="Times New Roman" w:hAnsi="Times New Roman" w:cs="Times New Roman"/>
          <w:sz w:val="24"/>
          <w:szCs w:val="24"/>
          <w:lang w:eastAsia="en-US"/>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Cessão de crédito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bookmarkStart w:id="18" w:name="_Ref154079397"/>
      <w:r>
        <w:rPr>
          <w:rFonts w:ascii="Times New Roman" w:hAnsi="Times New Roman" w:cs="Times New Roman"/>
          <w:sz w:val="24"/>
          <w:szCs w:val="24"/>
          <w:lang w:eastAsia="en-US"/>
        </w:rPr>
        <w:t xml:space="preserve">É admitida a cessão fiduciária de direitos creditícios com instituição financeira, nos termos e de acordo com os procedimentos previstos na </w:t>
      </w:r>
      <w:hyperlink r:id="rId32" w:tooltip="https://www.gov.br/compras/pt-br/acesso-a-informacao/legislacao/instrucoes-normativas/instrucao-normativa-no-53-de-8-de-julho-de-2020" w:history="1">
        <w:r>
          <w:rPr>
            <w:rStyle w:val="1052"/>
            <w:rFonts w:ascii="Times New Roman" w:hAnsi="Times New Roman" w:cs="Times New Roman"/>
            <w:sz w:val="24"/>
            <w:szCs w:val="24"/>
            <w:lang w:eastAsia="en-US"/>
          </w:rPr>
          <w:t xml:space="preserve">Instrução Normativa SEGES/ME nº 53, de 8 de Julho de 2020</w:t>
        </w:r>
      </w:hyperlink>
      <w:r>
        <w:rPr>
          <w:rFonts w:ascii="Times New Roman" w:hAnsi="Times New Roman" w:cs="Times New Roman"/>
          <w:sz w:val="24"/>
          <w:szCs w:val="24"/>
          <w:lang w:eastAsia="en-US"/>
        </w:rPr>
        <w:t xml:space="preserve">, conforme as regras deste presente tópico.</w:t>
      </w:r>
      <w:bookmarkEnd w:id="18"/>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Sem prejuízo do regular atendimento da obr</w:t>
      </w:r>
      <w:r>
        <w:rPr>
          <w:rFonts w:ascii="Times New Roman" w:hAnsi="Times New Roman" w:cs="Times New Roman"/>
          <w:sz w:val="24"/>
          <w:szCs w:val="24"/>
          <w:lang w:eastAsia="en-US"/>
        </w:rPr>
        <w:t xml:space="preserve">igação contratual de cumprimento de todas as condições de habilitação por parte do contratado (cedente), a celebração do aditamento de cessão de crédito e a realização dos pagamentos respectivos também se condicionam à regularidade fiscal e trabalhista do </w:t>
      </w:r>
      <w:r>
        <w:rPr>
          <w:rFonts w:ascii="Times New Roman" w:hAnsi="Times New Roman" w:cs="Times New Roman"/>
          <w:sz w:val="24"/>
          <w:szCs w:val="24"/>
          <w:lang w:eastAsia="en-US"/>
        </w:rPr>
        <w:t xml:space="preserve">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33" w:tooltip="https://www.planalto.gov.br/ccivil_03/leis/l8429.htm#:~:text=LEI%20N%C2%BA%208.429%2C%20DE%202%20DE%20JUNHO%20DE%201992&amp;text=Disp%C3%B5e%20sobre%20as%20san%C3%A7%C3%B5es%20aplic%C3%A1veis,fundacional%20e%20d%C3%A1%20outras%20provid%C3%AAncias." w:anchor=":~:text=LEI%20N%C2%BA%208.429%2C%20DE%202%20DE%20JUNHO%20DE%201992&amp;text=Disp%C3%B5e%20sobre%20as%20san%C3%A7%C3%B5es%20aplic%C3%A1veis,fundacional%20e%20d%C3%A1%20outras%20provid%C3%AAncias." w:history="1">
        <w:r>
          <w:rPr>
            <w:rStyle w:val="1052"/>
            <w:rFonts w:ascii="Times New Roman" w:hAnsi="Times New Roman" w:cs="Times New Roman"/>
            <w:sz w:val="24"/>
            <w:szCs w:val="24"/>
            <w:lang w:eastAsia="en-US"/>
          </w:rPr>
          <w:t xml:space="preserve">o art. 12 da Lei nº 8.429, de 1992</w:t>
        </w:r>
      </w:hyperlink>
      <w:r>
        <w:rPr>
          <w:rFonts w:ascii="Times New Roman" w:hAnsi="Times New Roman" w:cs="Times New Roman"/>
          <w:sz w:val="24"/>
          <w:szCs w:val="24"/>
          <w:lang w:eastAsia="en-US"/>
        </w:rPr>
        <w:t xml:space="preserve">,</w:t>
      </w:r>
      <w:r>
        <w:rPr>
          <w:rFonts w:ascii="Times New Roman" w:hAnsi="Times New Roman" w:cs="Times New Roman"/>
          <w:sz w:val="24"/>
          <w:szCs w:val="24"/>
          <w:lang w:eastAsia="en-US"/>
        </w:rPr>
        <w:t xml:space="preserve"> nos termos do </w:t>
      </w:r>
      <w:hyperlink r:id="rId34" w:tooltip="http://www.planalto.gov.br/ccivil_03/AGU/Pareceres/2019-2022/PRC-JL-01-2020.htm" w:history="1">
        <w:r>
          <w:rPr>
            <w:rStyle w:val="1052"/>
            <w:rFonts w:ascii="Times New Roman" w:hAnsi="Times New Roman" w:cs="Times New Roman"/>
            <w:sz w:val="24"/>
            <w:szCs w:val="24"/>
            <w:lang w:eastAsia="en-US"/>
          </w:rPr>
          <w:t xml:space="preserve">Parecer JL-01, de 18 de maio de 2020.</w:t>
        </w:r>
      </w:hyperlink>
      <w:r/>
      <w:bookmarkStart w:id="19" w:name="_Hlk114498447"/>
      <w:r/>
      <w:bookmarkEnd w:id="19"/>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crédito a ser pago à cessionária é exatamente aquele que seria destinado à cedente (contratado) pela execução do objeto contratual, restando absolutamente incólumes todas as defesas e exceções ao pagamento e to</w:t>
      </w:r>
      <w:r>
        <w:rPr>
          <w:rFonts w:ascii="Times New Roman" w:hAnsi="Times New Roman" w:cs="Times New Roman"/>
          <w:sz w:val="24"/>
          <w:szCs w:val="24"/>
        </w:rPr>
        <w:t xml:space="preserve">das as demais cláusulas exorbitantes ao direito comum aplicáveis no regime jurídico de direito público incidente sobre os contratos administrativos, incluindo a possibilidade de pagamento em conta vinculada ou de pagamento pela efetiva comprovação do fato </w:t>
      </w:r>
      <w:r>
        <w:rPr>
          <w:rFonts w:ascii="Times New Roman" w:hAnsi="Times New Roman" w:cs="Times New Roman"/>
          <w:sz w:val="24"/>
          <w:szCs w:val="24"/>
        </w:rPr>
        <w:t xml:space="preserve">gerador, quando for o caso, e o desconto de multas, glosas e prejuízos causados à Administração. </w:t>
      </w:r>
      <w:r>
        <w:rPr>
          <w:rFonts w:ascii="Times New Roman" w:hAnsi="Times New Roman" w:cs="Times New Roman"/>
          <w:sz w:val="24"/>
          <w:szCs w:val="24"/>
        </w:rPr>
        <w:t xml:space="preserve">(INSTRUÇÃO NORMATIVA Nº 53, DE 8 DE JULHO DE 2020 e Anexos)</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lang w:eastAsia="en-US"/>
        </w:rPr>
      </w:pPr>
      <w:r>
        <w:rPr>
          <w:rFonts w:ascii="Times New Roman" w:hAnsi="Times New Roman" w:cs="Times New Roman"/>
          <w:sz w:val="24"/>
          <w:szCs w:val="24"/>
          <w:lang w:eastAsia="en-US"/>
        </w:rPr>
        <w:t xml:space="preserve">A cessão de crédito não afetará a execução do objeto contratado, que continuará sob a integral responsabilidade do contratado.</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094"/>
        <w:numPr>
          <w:ilvl w:val="1"/>
          <w:numId w:val="0"/>
        </w:numPr>
        <w:pBdr/>
        <w:spacing/>
        <w:ind/>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r>
      <w:r>
        <w:rPr>
          <w:rFonts w:ascii="Times New Roman" w:hAnsi="Times New Roman" w:cs="Times New Roman"/>
          <w:color w:val="000000" w:themeColor="text1"/>
          <w:sz w:val="24"/>
          <w:szCs w:val="24"/>
          <w:lang w:eastAsia="en-US"/>
        </w:rPr>
      </w:r>
      <w:r>
        <w:rPr>
          <w:rFonts w:ascii="Times New Roman" w:hAnsi="Times New Roman" w:cs="Times New Roman"/>
          <w:color w:val="000000" w:themeColor="text1"/>
          <w:sz w:val="24"/>
          <w:szCs w:val="24"/>
          <w:lang w:eastAsia="en-US"/>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FORMA</w:t>
      </w:r>
      <w:r>
        <w:rPr>
          <w:rFonts w:ascii="Times New Roman" w:hAnsi="Times New Roman" w:cs="Times New Roman"/>
          <w:sz w:val="24"/>
          <w:szCs w:val="24"/>
        </w:rPr>
        <w:t xml:space="preserve"> E</w:t>
      </w:r>
      <w:r>
        <w:rPr>
          <w:rFonts w:ascii="Times New Roman" w:hAnsi="Times New Roman" w:cs="Times New Roman"/>
          <w:sz w:val="24"/>
          <w:szCs w:val="24"/>
        </w:rPr>
        <w:t xml:space="preserve"> </w:t>
      </w:r>
      <w:r>
        <w:rPr>
          <w:rFonts w:ascii="Times New Roman" w:hAnsi="Times New Roman" w:cs="Times New Roman"/>
          <w:sz w:val="24"/>
          <w:szCs w:val="24"/>
        </w:rPr>
        <w:t xml:space="preserve">CRITÉRIOS DE SELEÇÃO DO FORNECEDOR</w:t>
      </w:r>
      <w:r>
        <w:rPr>
          <w:rFonts w:ascii="Times New Roman" w:hAnsi="Times New Roman" w:cs="Times New Roman"/>
          <w:sz w:val="24"/>
          <w:szCs w:val="24"/>
        </w:rPr>
        <w:t xml:space="preserve"> E FORMA DE FORNECIMENTO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 fornecedor será selecionado por meio da realização de procedimento de dispensa de licitação, na forma eletrônica, com fundamento na hipótese do art. 75, inciso </w:t>
      </w:r>
      <w:r>
        <w:rPr>
          <w:rFonts w:ascii="Times New Roman" w:hAnsi="Times New Roman" w:cs="Times New Roman"/>
          <w:color w:val="000000" w:themeColor="text1"/>
          <w:sz w:val="24"/>
          <w:szCs w:val="24"/>
        </w:rPr>
        <w:t xml:space="preserve">II</w:t>
      </w:r>
      <w:r>
        <w:rPr>
          <w:rFonts w:ascii="Times New Roman" w:hAnsi="Times New Roman" w:cs="Times New Roman"/>
          <w:color w:val="000000" w:themeColor="text1"/>
          <w:sz w:val="24"/>
          <w:szCs w:val="24"/>
        </w:rPr>
        <w:t xml:space="preserve"> da Lei n.º 14.133/2021 que culminará com a seleção da proposta de MENOR PREÇO POR ITEM</w:t>
      </w:r>
      <w:r>
        <w:rPr>
          <w:rFonts w:ascii="Times New Roman" w:hAnsi="Times New Roman" w:cs="Times New Roman"/>
          <w:color w:val="000000" w:themeColor="text1"/>
          <w:sz w:val="24"/>
          <w:szCs w:val="24"/>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165"/>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Forma de fornecimento</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color w:val="000000" w:themeColor="text1"/>
          <w:sz w:val="24"/>
          <w:szCs w:val="24"/>
        </w:rPr>
      </w:pPr>
      <w:r>
        <w:rPr>
          <w:rStyle w:val="1086"/>
          <w:rFonts w:ascii="Times New Roman" w:hAnsi="Times New Roman" w:cs="Times New Roman"/>
          <w:color w:val="000000" w:themeColor="text1"/>
          <w:sz w:val="24"/>
          <w:szCs w:val="24"/>
          <w:shd w:val="clear" w:color="auto" w:fill="ffffff"/>
        </w:rPr>
        <w:t xml:space="preserve">O </w:t>
      </w:r>
      <w:r>
        <w:rPr>
          <w:rStyle w:val="1158"/>
          <w:rFonts w:ascii="Times New Roman" w:hAnsi="Times New Roman" w:cs="Times New Roman"/>
          <w:color w:val="000000" w:themeColor="text1"/>
          <w:sz w:val="24"/>
          <w:szCs w:val="24"/>
          <w:shd w:val="clear" w:color="auto" w:fill="ffffff"/>
        </w:rPr>
        <w:t xml:space="preserve">fornecimento do objeto será </w:t>
      </w:r>
      <w:r>
        <w:rPr>
          <w:rFonts w:ascii="Times New Roman" w:hAnsi="Times New Roman" w:cs="Times New Roman"/>
          <w:color w:val="000000" w:themeColor="text1"/>
          <w:sz w:val="24"/>
          <w:szCs w:val="24"/>
        </w:rPr>
        <w:t xml:space="preserve">integral</w:t>
      </w:r>
      <w:r>
        <w:rPr>
          <w:rFonts w:ascii="Times New Roman" w:hAnsi="Times New Roman" w:cs="Times New Roman"/>
          <w:color w:val="000000" w:themeColor="text1"/>
          <w:sz w:val="24"/>
          <w:szCs w:val="24"/>
          <w:shd w:val="clear" w:color="auto" w:fill="ffffff"/>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Exigências de habilitação</w:t>
      </w:r>
      <w:r>
        <w:rPr>
          <w:rFonts w:ascii="Times New Roman" w:hAnsi="Times New Roman" w:cs="Times New Roman"/>
          <w:sz w:val="24"/>
          <w:szCs w:val="24"/>
        </w:rPr>
      </w:r>
      <w:r>
        <w:rPr>
          <w:rFonts w:ascii="Times New Roman" w:hAnsi="Times New Roman" w:cs="Times New Roman"/>
          <w:sz w:val="24"/>
          <w:szCs w:val="24"/>
        </w:rPr>
      </w:r>
    </w:p>
    <w:p>
      <w:pPr>
        <w:pStyle w:val="1094"/>
        <w:pBdr/>
        <w:spacing/>
        <w:ind w:hanging="432"/>
        <w:rPr>
          <w:rFonts w:ascii="Times New Roman" w:hAnsi="Times New Roman" w:cs="Times New Roman"/>
          <w:color w:val="000000" w:themeColor="text1"/>
          <w:sz w:val="24"/>
          <w:szCs w:val="24"/>
        </w:rPr>
      </w:pPr>
      <w:r>
        <w:rPr>
          <w:rFonts w:ascii="Times New Roman" w:hAnsi="Times New Roman" w:eastAsia="Ecofont_Spranq_eco_Sans" w:cs="Times New Roman"/>
          <w:color w:val="auto"/>
          <w:sz w:val="24"/>
          <w:szCs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w:t>
      </w:r>
      <w:r>
        <w:rPr>
          <w:rFonts w:ascii="Times New Roman" w:hAnsi="Times New Roman" w:eastAsia="Ecofont_Spranq_eco_Sans" w:cs="Times New Roman"/>
          <w:color w:val="auto"/>
          <w:sz w:val="24"/>
          <w:szCs w:val="24"/>
        </w:rPr>
        <w:t xml:space="preserve">  </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Bdr/>
        <w:spacing w:after="120" w:before="120" w:line="276" w:lineRule="auto"/>
        <w:ind w:left="810"/>
        <w:jc w:val="both"/>
        <w:rPr>
          <w:rFonts w:ascii="Times New Roman" w:hAnsi="Times New Roman" w:cs="Times New Roman"/>
        </w:rPr>
      </w:pPr>
      <w:r>
        <w:rPr>
          <w:rFonts w:ascii="Times New Roman" w:hAnsi="Times New Roman" w:eastAsia="Arial" w:cs="Times New Roman"/>
        </w:rPr>
        <w:t xml:space="preserve">a) SICAF;  </w:t>
      </w:r>
      <w:r>
        <w:rPr>
          <w:rFonts w:ascii="Times New Roman" w:hAnsi="Times New Roman" w:cs="Times New Roman"/>
        </w:rPr>
      </w:r>
      <w:r>
        <w:rPr>
          <w:rFonts w:ascii="Times New Roman" w:hAnsi="Times New Roman" w:cs="Times New Roman"/>
        </w:rPr>
      </w:r>
    </w:p>
    <w:p>
      <w:pPr>
        <w:pBdr/>
        <w:spacing w:after="120" w:before="120" w:line="276" w:lineRule="auto"/>
        <w:ind w:left="810"/>
        <w:jc w:val="both"/>
        <w:rPr>
          <w:rFonts w:ascii="Times New Roman" w:hAnsi="Times New Roman" w:eastAsia="Arial" w:cs="Times New Roman"/>
        </w:rPr>
      </w:pPr>
      <w:r>
        <w:rPr>
          <w:rFonts w:ascii="Times New Roman" w:hAnsi="Times New Roman" w:eastAsia="Arial" w:cs="Times New Roman"/>
        </w:rPr>
        <w:t xml:space="preserve">b) Cadastro Nacional de Empresas Inidôneas e Suspensas - CEIS, mantido pela Controladoria-Geral da União (</w:t>
      </w:r>
      <w:hyperlink r:id="rId35" w:tooltip="http://www.portaldatransparencia.gov.br/ceis" w:history="1">
        <w:r>
          <w:rPr>
            <w:rStyle w:val="1052"/>
            <w:rFonts w:ascii="Times New Roman" w:hAnsi="Times New Roman" w:eastAsia="Arial" w:cs="Times New Roman"/>
            <w:color w:val="auto"/>
          </w:rPr>
          <w:t xml:space="preserve">www.portaldatransparencia.gov.br/ceis</w:t>
        </w:r>
      </w:hyperlink>
      <w:r>
        <w:rPr>
          <w:rFonts w:ascii="Times New Roman" w:hAnsi="Times New Roman" w:eastAsia="Arial" w:cs="Times New Roman"/>
        </w:rPr>
        <w:t xml:space="preserve">);  </w:t>
      </w:r>
      <w:r>
        <w:rPr>
          <w:rFonts w:ascii="Times New Roman" w:hAnsi="Times New Roman" w:eastAsia="Arial" w:cs="Times New Roman"/>
        </w:rPr>
      </w:r>
      <w:r>
        <w:rPr>
          <w:rFonts w:ascii="Times New Roman" w:hAnsi="Times New Roman" w:eastAsia="Arial" w:cs="Times New Roman"/>
        </w:rPr>
      </w:r>
    </w:p>
    <w:p>
      <w:pPr>
        <w:pBdr/>
        <w:spacing w:after="120" w:before="120" w:line="276" w:lineRule="auto"/>
        <w:ind w:left="810"/>
        <w:jc w:val="both"/>
        <w:rPr>
          <w:rFonts w:ascii="Times New Roman" w:hAnsi="Times New Roman" w:eastAsia="Arial" w:cs="Times New Roman"/>
        </w:rPr>
      </w:pPr>
      <w:r>
        <w:rPr>
          <w:rFonts w:ascii="Times New Roman" w:hAnsi="Times New Roman" w:eastAsia="Arial" w:cs="Times New Roman"/>
        </w:rPr>
        <w:t xml:space="preserve">c) Cadastro Nacional de Empresas Punidas – CNEP, mantido pela Controladoria-Geral da União (</w:t>
      </w:r>
      <w:hyperlink r:id="rId36" w:tooltip="https://www.portaltransparencia.gov.br/sancoes/cnep" w:history="1">
        <w:r>
          <w:rPr>
            <w:rStyle w:val="1052"/>
            <w:rFonts w:ascii="Times New Roman" w:hAnsi="Times New Roman" w:eastAsia="Arial" w:cs="Times New Roman"/>
            <w:color w:val="auto"/>
          </w:rPr>
          <w:t xml:space="preserve">https://www.portaltransparencia.gov.br/sancoes/cnep</w:t>
        </w:r>
      </w:hyperlink>
      <w:r>
        <w:rPr>
          <w:rFonts w:ascii="Times New Roman" w:hAnsi="Times New Roman" w:eastAsia="Arial" w:cs="Times New Roman"/>
        </w:rPr>
        <w:t xml:space="preserve">)</w:t>
      </w:r>
      <w:r>
        <w:rPr>
          <w:rFonts w:ascii="Times New Roman" w:hAnsi="Times New Roman" w:eastAsia="Arial" w:cs="Times New Roman"/>
        </w:rPr>
      </w:r>
      <w:r>
        <w:rPr>
          <w:rFonts w:ascii="Times New Roman" w:hAnsi="Times New Roman" w:eastAsia="Arial" w:cs="Times New Roman"/>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A consulta aos cadastros será realizada em nome da empresa </w:t>
      </w:r>
      <w:r>
        <w:rPr>
          <w:rFonts w:ascii="Times New Roman" w:hAnsi="Times New Roman" w:cs="Times New Roman"/>
          <w:color w:val="auto"/>
          <w:sz w:val="24"/>
          <w:szCs w:val="24"/>
        </w:rPr>
        <w:t xml:space="preserve">interessada </w:t>
      </w:r>
      <w:r>
        <w:rPr>
          <w:rFonts w:ascii="Times New Roman" w:hAnsi="Times New Roman" w:cs="Times New Roman"/>
          <w:color w:val="auto"/>
          <w:sz w:val="24"/>
          <w:szCs w:val="24"/>
        </w:rPr>
        <w:t xml:space="preserve">e de seu sócio majoritário, por força do artig</w:t>
      </w:r>
      <w:r>
        <w:rPr>
          <w:rFonts w:ascii="Times New Roman" w:hAnsi="Times New Roman" w:cs="Times New Roman"/>
          <w:color w:val="auto"/>
          <w:sz w:val="24"/>
          <w:szCs w:val="24"/>
        </w:rPr>
        <w:t xml:space="preserve">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Caso conste na Consulta de Situação do </w:t>
      </w:r>
      <w:r>
        <w:rPr>
          <w:rFonts w:ascii="Times New Roman" w:hAnsi="Times New Roman" w:cs="Times New Roman"/>
          <w:color w:val="auto"/>
          <w:sz w:val="24"/>
          <w:szCs w:val="24"/>
        </w:rPr>
        <w:t xml:space="preserve">interessado </w:t>
      </w:r>
      <w:r>
        <w:rPr>
          <w:rFonts w:ascii="Times New Roman" w:hAnsi="Times New Roman" w:cs="Times New Roman"/>
          <w:color w:val="auto"/>
          <w:sz w:val="24"/>
          <w:szCs w:val="24"/>
        </w:rPr>
        <w:t xml:space="preserve">a existência de Ocorrências Impeditivas Indiretas, o gestor diligenciará para verificar se houve fraude por parte das empresas apontadas no Relatório de Ocorrências Impeditivas Indiretas.</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A tentativa de burla será verificada por meio dos vínculos societários, linhas de fornecimento similares, dentre outros.</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O </w:t>
      </w:r>
      <w:r>
        <w:rPr>
          <w:rFonts w:ascii="Times New Roman" w:hAnsi="Times New Roman" w:cs="Times New Roman"/>
          <w:color w:val="auto"/>
          <w:sz w:val="24"/>
          <w:szCs w:val="24"/>
        </w:rPr>
        <w:t xml:space="preserve">interessado</w:t>
      </w:r>
      <w:r>
        <w:rPr>
          <w:rFonts w:ascii="Times New Roman" w:hAnsi="Times New Roman" w:cs="Times New Roman"/>
          <w:color w:val="auto"/>
          <w:sz w:val="24"/>
          <w:szCs w:val="24"/>
        </w:rPr>
        <w:t xml:space="preserve"> será convocado para manifestação previamente a uma eventual negativa de contratação.</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Caso atendidas as condições para contratação, a habilitação do </w:t>
      </w:r>
      <w:r>
        <w:rPr>
          <w:rFonts w:ascii="Times New Roman" w:hAnsi="Times New Roman" w:cs="Times New Roman"/>
          <w:color w:val="auto"/>
          <w:sz w:val="24"/>
          <w:szCs w:val="24"/>
        </w:rPr>
        <w:t xml:space="preserve">interessado </w:t>
      </w:r>
      <w:r>
        <w:rPr>
          <w:rFonts w:ascii="Times New Roman" w:hAnsi="Times New Roman" w:cs="Times New Roman"/>
          <w:color w:val="auto"/>
          <w:sz w:val="24"/>
          <w:szCs w:val="24"/>
        </w:rPr>
        <w:t xml:space="preserve">será verificada por meio do SICAF, nos documentos por ele abrangidos.</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É dever do </w:t>
      </w:r>
      <w:r>
        <w:rPr>
          <w:rFonts w:ascii="Times New Roman" w:hAnsi="Times New Roman" w:cs="Times New Roman"/>
          <w:color w:val="auto"/>
          <w:sz w:val="24"/>
          <w:szCs w:val="24"/>
        </w:rPr>
        <w:t xml:space="preserve">interessado </w:t>
      </w:r>
      <w:r>
        <w:rPr>
          <w:rFonts w:ascii="Times New Roman" w:hAnsi="Times New Roman" w:cs="Times New Roman"/>
          <w:color w:val="auto"/>
          <w:sz w:val="24"/>
          <w:szCs w:val="24"/>
        </w:rPr>
        <w:t xml:space="preserve">manter atualizada a respectiva documentação constante do SICAF, ou encaminhar, quando solicitado pela Administração, a respectiva documentação atualizada.</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Não serão aceitos documentos de habilitação com indicação de CNPJ/CPF diferentes, salvo aqueles legalmente permitidos.</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Se o </w:t>
      </w:r>
      <w:r>
        <w:rPr>
          <w:rFonts w:ascii="Times New Roman" w:hAnsi="Times New Roman" w:cs="Times New Roman"/>
          <w:color w:val="auto"/>
          <w:sz w:val="24"/>
          <w:szCs w:val="24"/>
        </w:rPr>
        <w:t xml:space="preserve">interessado </w:t>
      </w:r>
      <w:r>
        <w:rPr>
          <w:rFonts w:ascii="Times New Roman" w:hAnsi="Times New Roman" w:cs="Times New Roman"/>
          <w:color w:val="auto"/>
          <w:sz w:val="24"/>
          <w:szCs w:val="24"/>
        </w:rPr>
        <w:t xml:space="preserve">for a matriz, todos os documentos deverão estar em nome da matriz, e se </w:t>
      </w:r>
      <w:r>
        <w:rPr>
          <w:rFonts w:ascii="Times New Roman" w:hAnsi="Times New Roman" w:cs="Times New Roman"/>
          <w:color w:val="auto"/>
          <w:sz w:val="24"/>
          <w:szCs w:val="24"/>
        </w:rPr>
        <w:t xml:space="preserve">o fornecedor for a filial, todos os documentos deverão estar em nome da filial, exceto para atestados de capacidade técnica, caso exigidos, e no caso daqueles documentos que, pela própria natureza, comprovadamente, forem emitidos somente em nome da matriz.</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hanging="432"/>
        <w:rPr>
          <w:rFonts w:ascii="Times New Roman" w:hAnsi="Times New Roman" w:cs="Times New Roman"/>
          <w:color w:val="auto"/>
          <w:sz w:val="24"/>
          <w:szCs w:val="24"/>
        </w:rPr>
      </w:pPr>
      <w:r>
        <w:rPr>
          <w:rFonts w:ascii="Times New Roman" w:hAnsi="Times New Roman" w:cs="Times New Roman"/>
          <w:color w:val="auto"/>
          <w:sz w:val="24"/>
          <w:szCs w:val="24"/>
        </w:rPr>
        <w:t xml:space="preserve">Serão aceitos registros de CNPJ de fornecedor matriz e filial com diferenças de números de documentos pertinentes ao CND e ao CRF/FGTS, quando for comprovada a centralização do recolhimento dessas contribuições.</w:t>
      </w:r>
      <w:r>
        <w:rPr>
          <w:rFonts w:ascii="Times New Roman" w:hAnsi="Times New Roman" w:cs="Times New Roman"/>
          <w:color w:val="auto"/>
          <w:sz w:val="24"/>
          <w:szCs w:val="24"/>
        </w:rPr>
      </w:r>
      <w:r>
        <w:rPr>
          <w:rFonts w:ascii="Times New Roman" w:hAnsi="Times New Roman" w:cs="Times New Roman"/>
          <w:color w:val="auto"/>
          <w:sz w:val="24"/>
          <w:szCs w:val="24"/>
        </w:rPr>
      </w:r>
    </w:p>
    <w:p>
      <w:pPr>
        <w:pStyle w:val="1094"/>
        <w:pBdr/>
        <w:spacing/>
        <w:ind/>
        <w:rPr>
          <w:rFonts w:ascii="Times New Roman" w:hAnsi="Times New Roman" w:cs="Times New Roman"/>
          <w:sz w:val="24"/>
          <w:szCs w:val="24"/>
        </w:rPr>
      </w:pPr>
      <w:r>
        <w:rPr>
          <w:rFonts w:ascii="Times New Roman" w:hAnsi="Times New Roman" w:cs="Times New Roman"/>
          <w:color w:val="auto"/>
          <w:sz w:val="24"/>
          <w:szCs w:val="24"/>
        </w:rPr>
        <w:t xml:space="preserve">Para fins de habilitação</w:t>
      </w:r>
      <w:r>
        <w:rPr>
          <w:rFonts w:ascii="Times New Roman" w:hAnsi="Times New Roman" w:cs="Times New Roman"/>
          <w:color w:val="auto"/>
          <w:sz w:val="24"/>
          <w:szCs w:val="24"/>
        </w:rPr>
        <w:t xml:space="preserve">, deverá o interessado comprovar os seguintes requisitos, </w:t>
      </w:r>
      <w:r>
        <w:rPr>
          <w:rFonts w:ascii="Times New Roman" w:hAnsi="Times New Roman" w:cs="Times New Roman"/>
          <w:sz w:val="24"/>
          <w:szCs w:val="24"/>
        </w:rPr>
        <w:t xml:space="preserve">que serão exigidos conforme sua natureza jurídica</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Habilitação jurídica</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bookmarkStart w:id="25" w:name="_Ref115800561"/>
      <w:r>
        <w:rPr>
          <w:rFonts w:ascii="Times New Roman" w:hAnsi="Times New Roman" w:cs="Times New Roman"/>
          <w:b/>
          <w:bCs/>
          <w:sz w:val="24"/>
          <w:szCs w:val="24"/>
        </w:rPr>
        <w:t xml:space="preserve">Pessoa física:</w:t>
      </w:r>
      <w:r>
        <w:rPr>
          <w:rFonts w:ascii="Times New Roman" w:hAnsi="Times New Roman" w:cs="Times New Roman"/>
          <w:sz w:val="24"/>
          <w:szCs w:val="24"/>
        </w:rPr>
        <w:t xml:space="preserve"> cédula de identidade (RG) ou documento equivalente que, por força de lei, tenha validade para fins de identificação em todo o território nacional;</w:t>
      </w:r>
      <w:bookmarkEnd w:id="25"/>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Empresário individual:</w:t>
      </w:r>
      <w:r>
        <w:rPr>
          <w:rFonts w:ascii="Times New Roman" w:hAnsi="Times New Roman" w:cs="Times New Roman"/>
          <w:sz w:val="24"/>
          <w:szCs w:val="24"/>
        </w:rPr>
        <w:t xml:space="preserve"> inscrição no Registro Público de Empresas Mercantis, a cargo da Junta Comercial da respectiva sede; </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Microempreendedor Individual - MEI:</w:t>
      </w:r>
      <w:r>
        <w:rPr>
          <w:rFonts w:ascii="Times New Roman" w:hAnsi="Times New Roman" w:cs="Times New Roman"/>
          <w:sz w:val="24"/>
          <w:szCs w:val="24"/>
        </w:rPr>
        <w:t xml:space="preserve"> Certificado da Condição de Microempreendedor Individual - CCMEI, cuja aceitação ficará condicionada à verificação da autenticidade no sítio </w:t>
      </w:r>
      <w:hyperlink r:id="rId37" w:tooltip="https://www.gov.br/empresas-e-negocios/pt-br/empreendedor" w:history="1">
        <w:r>
          <w:rPr>
            <w:rStyle w:val="1052"/>
            <w:rFonts w:ascii="Times New Roman" w:hAnsi="Times New Roman" w:cs="Times New Roman"/>
            <w:sz w:val="24"/>
            <w:szCs w:val="24"/>
          </w:rPr>
          <w:t xml:space="preserve">https://www.gov.br/empresas-e-negocios/pt-br/empreendedor</w:t>
        </w:r>
      </w:hyperlink>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Sociedade empresária, sociedade limitada unipessoal – SLU ou sociedade identificada como empresa individual de responsabilidade limitada - EIRELI</w:t>
      </w:r>
      <w:r>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Sociedade empresária estrangeira:</w:t>
      </w:r>
      <w:r>
        <w:rPr>
          <w:rFonts w:ascii="Times New Roman" w:hAnsi="Times New Roman" w:cs="Times New Roman"/>
          <w:sz w:val="24"/>
          <w:szCs w:val="24"/>
        </w:rPr>
        <w:t xml:space="preserve"> portaria d</w:t>
      </w:r>
      <w:r>
        <w:rPr>
          <w:rFonts w:ascii="Times New Roman" w:hAnsi="Times New Roman" w:cs="Times New Roman"/>
          <w:sz w:val="24"/>
          <w:szCs w:val="24"/>
        </w:rPr>
        <w:t xml:space="preserve">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tooltip="https://www.gov.br/economia/pt-br/assuntos/drei/legislacao/arquivos/legislacoes-federais/indrei772020.pdf" w:history="1">
        <w:r>
          <w:rPr>
            <w:rStyle w:val="1052"/>
            <w:rFonts w:ascii="Times New Roman" w:hAnsi="Times New Roman" w:cs="Times New Roman"/>
            <w:sz w:val="24"/>
            <w:szCs w:val="24"/>
          </w:rPr>
          <w:t xml:space="preserve">Normativa DREI/ME n.º 77, de 18 de março de 2020</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Sociedade simples: </w:t>
      </w:r>
      <w:r>
        <w:rPr>
          <w:rFonts w:ascii="Times New Roman" w:hAnsi="Times New Roman" w:cs="Times New Roman"/>
          <w:sz w:val="24"/>
          <w:szCs w:val="24"/>
        </w:rPr>
        <w:t xml:space="preserve">inscrição do ato constitutivo no Registro Civil de Pessoas Jurídicas do local de sua sede, acompanhada de documento comprobatório de seus administradores;</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Filial, sucursal ou agência de sociedade simples ou empresária:</w:t>
      </w:r>
      <w:r>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8" w:name="_Int_ySfCXwr4"/>
      <w:r>
        <w:rPr>
          <w:rFonts w:ascii="Times New Roman" w:hAnsi="Times New Roman" w:cs="Times New Roman"/>
          <w:sz w:val="24"/>
          <w:szCs w:val="24"/>
        </w:rPr>
        <w:t xml:space="preserve">Mercantis onde</w:t>
      </w:r>
      <w:bookmarkEnd w:id="28"/>
      <w:r>
        <w:rPr>
          <w:rFonts w:ascii="Times New Roman" w:hAnsi="Times New Roman" w:cs="Times New Roman"/>
          <w:sz w:val="24"/>
          <w:szCs w:val="24"/>
        </w:rPr>
        <w:t xml:space="preserve"> opera, com averbação no Registro onde tem sede a matriz</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Sociedade cooperativa:</w:t>
      </w:r>
      <w:r>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w:t>
      </w:r>
      <w:r>
        <w:rPr>
          <w:rFonts w:ascii="Times New Roman" w:hAnsi="Times New Roman" w:cs="Times New Roman"/>
          <w:sz w:val="24"/>
          <w:szCs w:val="24"/>
        </w:rPr>
        <w:t xml:space="preserve">Jurídicas da respectiva sede, além do registro de que trata o </w:t>
      </w:r>
      <w:hyperlink r:id="rId39" w:tooltip="https://www.planalto.gov.br/ccivil_03/leis/l5764.htm#art107" w:anchor="art107" w:history="1">
        <w:r>
          <w:rPr>
            <w:rStyle w:val="1052"/>
            <w:rFonts w:ascii="Times New Roman" w:hAnsi="Times New Roman" w:cs="Times New Roman"/>
            <w:sz w:val="24"/>
            <w:szCs w:val="24"/>
          </w:rPr>
          <w:t xml:space="preserve">art. 107 da Lei nº 5.764, de 16 de dezembro 1971</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Agricultor familiar:</w:t>
      </w:r>
      <w:r>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40" w:tooltip="https://www.planalto.gov.br/ccivil_03/_ato2019-2022/2021/decreto/d10880.htm#art4§2" w:anchor="art4§2" w:history="1">
        <w:r>
          <w:rPr>
            <w:rStyle w:val="1052"/>
            <w:rFonts w:ascii="Times New Roman" w:hAnsi="Times New Roman" w:cs="Times New Roman"/>
            <w:sz w:val="24"/>
            <w:szCs w:val="24"/>
          </w:rPr>
          <w:t xml:space="preserve"> art. 4º, §2º do Decreto nº 10.880, de 2 de dezembro de 2021</w:t>
        </w:r>
      </w:hyperlink>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b/>
          <w:bCs/>
          <w:sz w:val="24"/>
          <w:szCs w:val="24"/>
        </w:rPr>
        <w:t xml:space="preserve">Produtor Rural:</w:t>
      </w:r>
      <w:r>
        <w:rPr>
          <w:rFonts w:ascii="Times New Roman" w:hAnsi="Times New Roman" w:cs="Times New Roman"/>
          <w:sz w:val="24"/>
          <w:szCs w:val="24"/>
        </w:rPr>
        <w:t xml:space="preserve"> matrícula no Cadastro Específico do INSS – CEI, que comprove a qualificação como produtor rural pessoa física, nos termos da </w:t>
      </w:r>
      <w:hyperlink r:id="rId41" w:tooltip="https://www.gov.br/trabalho-e-previdencia/pt-br/servicos/empregador/programa-de-alimentacao-do-trabalhador-pat/arquivos-legislacao/instrucoes-normativas/pat_in_971_2009.pdf" w:history="1">
        <w:r>
          <w:rPr>
            <w:rStyle w:val="1052"/>
            <w:rFonts w:ascii="Times New Roman" w:hAnsi="Times New Roman" w:cs="Times New Roman"/>
            <w:sz w:val="24"/>
            <w:szCs w:val="24"/>
          </w:rPr>
          <w:t xml:space="preserve">Instrução Normativa RFB n. 971, de 13 de novembro de 2009</w:t>
        </w:r>
      </w:hyperlink>
      <w:r>
        <w:rPr>
          <w:rFonts w:ascii="Times New Roman" w:hAnsi="Times New Roman" w:cs="Times New Roman"/>
          <w:sz w:val="24"/>
          <w:szCs w:val="24"/>
        </w:rPr>
        <w:t xml:space="preserve"> (</w:t>
      </w:r>
      <w:r>
        <w:rPr>
          <w:rFonts w:ascii="Times New Roman" w:hAnsi="Times New Roman" w:cs="Times New Roman"/>
          <w:sz w:val="24"/>
          <w:szCs w:val="24"/>
        </w:rPr>
        <w:t xml:space="preserve">arts</w:t>
      </w:r>
      <w:r>
        <w:rPr>
          <w:rFonts w:ascii="Times New Roman" w:hAnsi="Times New Roman" w:cs="Times New Roman"/>
          <w:sz w:val="24"/>
          <w:szCs w:val="24"/>
        </w:rPr>
        <w:t xml:space="preserve">. 17 a 19 e 165).</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Os documentos apresentados deverão estar acompanhados de todas as alterações ou da consolidação respectiva.</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sz w:val="24"/>
          <w:szCs w:val="24"/>
        </w:rPr>
      </w:pPr>
      <w:r>
        <w:rPr>
          <w:rFonts w:ascii="Times New Roman" w:hAnsi="Times New Roman" w:cs="Times New Roman"/>
          <w:sz w:val="24"/>
          <w:szCs w:val="24"/>
        </w:rPr>
        <w:t xml:space="preserve">Habilitação fiscal, social e trabalhista</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Prova de inscrição no Cadastro Nacional de Pessoas Jurídicas ou no Cadastro de Pessoas Físicas, conforme o caso;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Prova de regulari</w:t>
      </w:r>
      <w:r>
        <w:rPr>
          <w:rFonts w:ascii="Times New Roman" w:hAnsi="Times New Roman" w:cs="Times New Roman"/>
          <w:sz w:val="24"/>
          <w:szCs w:val="24"/>
        </w:rPr>
        <w:t xml:space="preserve">dade fiscal perante a Fazenda Nacional, mediante apresentação de certidão expedida conjuntamente pela Secretaria da Receita Federal do Brasil (RFB) e pela Procuradoria-Geral da Fazenda Nacional (PGFN), referente a todos os créditos tributários federais e à</w:t>
      </w:r>
      <w:r>
        <w:rPr>
          <w:rFonts w:ascii="Times New Roman" w:hAnsi="Times New Roman" w:cs="Times New Roman"/>
          <w:sz w:val="24"/>
          <w:szCs w:val="24"/>
        </w:rPr>
        <w:t xml:space="preserve"> Dívida Ativa da União (DAU) por elas administrados, inclusive aqueles relativos à Seguridade Social, nos termos da Portaria Conjunta nº 1.751, de 02 de outubro de 2014, do Secretário da Receita Federal do Brasil e da Procuradora-Geral da Fazenda Nacional.</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Prova de regularidade com o Fundo de Garantia do Tempo de Serviço (FGTS);</w:t>
      </w:r>
      <w:r>
        <w:rPr>
          <w:rFonts w:ascii="Times New Roman" w:hAnsi="Times New Roman" w:cs="Times New Roman"/>
          <w:sz w:val="24"/>
          <w:szCs w:val="24"/>
        </w:rPr>
      </w:r>
      <w:r>
        <w:rPr>
          <w:rFonts w:ascii="Times New Roman" w:hAnsi="Times New Roman" w:cs="Times New Roman"/>
          <w:sz w:val="24"/>
          <w:szCs w:val="24"/>
        </w:rPr>
      </w:r>
    </w:p>
    <w:p>
      <w:pPr>
        <w:pStyle w:val="1094"/>
        <w:pBdr/>
        <w:spacing/>
        <w:ind w:right="0" w:firstLine="0" w:left="0"/>
        <w:rPr>
          <w:rFonts w:ascii="Times New Roman" w:hAnsi="Times New Roman" w:cs="Times New Roman"/>
          <w:color w:val="000000" w:themeColor="text1"/>
          <w:sz w:val="24"/>
          <w:szCs w:val="24"/>
        </w:rPr>
      </w:pPr>
      <w:r>
        <w:rPr>
          <w:rFonts w:ascii="Times New Roman" w:hAnsi="Times New Roman" w:cs="Times New Roman"/>
          <w:sz w:val="24"/>
          <w:szCs w:val="24"/>
        </w:rPr>
        <w:t xml:space="preserve">declaração de que não emprega menor de 18 anos em trabalho noturno, perigoso ou insalubre e não emprega menor de 16 anos, salvo menor, a partir de 14 anos, na condição de aprendiz, nos termos do artigo 7°, XXXIII, da Constituição;</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Prova de inexistência de </w:t>
      </w:r>
      <w:r>
        <w:rPr>
          <w:rFonts w:ascii="Times New Roman" w:hAnsi="Times New Roman" w:cs="Times New Roman"/>
          <w:sz w:val="24"/>
          <w:szCs w:val="24"/>
        </w:rPr>
        <w:t xml:space="preserve">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sz w:val="24"/>
          <w:szCs w:val="24"/>
        </w:rPr>
        <w:t xml:space="preserve">Prova de inscrição no cadastro de contribuintes </w:t>
      </w:r>
      <w:r>
        <w:rPr>
          <w:rFonts w:ascii="Times New Roman" w:hAnsi="Times New Roman" w:cs="Times New Roman"/>
          <w:color w:val="000000" w:themeColor="text1"/>
          <w:sz w:val="24"/>
          <w:szCs w:val="24"/>
        </w:rPr>
        <w:t xml:space="preserve">Estadual/Distrital relativo ao domicílio ou sede do fornecedor, pertinente ao seu ramo de atividade e compatível com o objeto contratual; </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Prova de regularidade com a Fazenda Estadual/Distrital do domicílio ou sede do fornecedor, relativa à atividade em cujo exercício contrata ou concorre;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sz w:val="24"/>
          <w:szCs w:val="24"/>
        </w:rPr>
      </w:pPr>
      <w:r>
        <w:rPr>
          <w:rFonts w:ascii="Times New Roman" w:hAnsi="Times New Roman" w:cs="Times New Roman"/>
          <w:color w:val="000000" w:themeColor="text1"/>
          <w:sz w:val="24"/>
          <w:szCs w:val="24"/>
        </w:rPr>
        <w:t xml:space="preserve">Caso o fornecedor seja considerado isento dos tributos Estadual/Distrital </w:t>
      </w:r>
      <w:r>
        <w:rPr>
          <w:rFonts w:ascii="Times New Roman" w:hAnsi="Times New Roman" w:cs="Times New Roman"/>
          <w:sz w:val="24"/>
          <w:szCs w:val="24"/>
        </w:rPr>
        <w:t xml:space="preserve">relacionados ao objeto contratual, deverá comprovar tal condição mediante a apresentação de declaração da Fazenda respectiva do seu domicílio ou sede, ou outra equivalente, na forma da lei.</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O f</w:t>
      </w:r>
      <w:r>
        <w:rPr>
          <w:rFonts w:ascii="Times New Roman" w:hAnsi="Times New Roman" w:cs="Times New Roman"/>
          <w:sz w:val="24"/>
          <w:szCs w:val="24"/>
        </w:rPr>
        <w:t xml:space="preserve">ornecedor enquadrado como microempreendedor individual que pretenda auferir os benefícios do tratamento diferenciado previstos na Lei Complementar n. 123, de 2006, estará dispensado da prova de inscrição nos cadastros de contribuintes estadual e municipal.</w:t>
      </w:r>
      <w:r>
        <w:rPr>
          <w:rFonts w:ascii="Times New Roman" w:hAnsi="Times New Roman" w:cs="Times New Roman"/>
          <w:sz w:val="24"/>
          <w:szCs w:val="24"/>
        </w:rPr>
      </w:r>
      <w:r>
        <w:rPr>
          <w:rFonts w:ascii="Times New Roman" w:hAnsi="Times New Roman" w:cs="Times New Roman"/>
          <w:sz w:val="24"/>
          <w:szCs w:val="24"/>
        </w:rPr>
      </w:r>
    </w:p>
    <w:p>
      <w:pPr>
        <w:pStyle w:val="1165"/>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Qualificação Econômico-Financeira</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Certidão negativa de insolvência civil expedida pelo distribuidor do domicílio ou sede do </w:t>
      </w:r>
      <w:r>
        <w:rPr>
          <w:rFonts w:ascii="Times New Roman" w:hAnsi="Times New Roman" w:cs="Times New Roman"/>
          <w:color w:val="000000" w:themeColor="text1"/>
          <w:sz w:val="24"/>
          <w:szCs w:val="24"/>
        </w:rPr>
        <w:t xml:space="preserve">interessado</w:t>
      </w:r>
      <w:r>
        <w:rPr>
          <w:rFonts w:ascii="Times New Roman" w:hAnsi="Times New Roman" w:cs="Times New Roman"/>
          <w:color w:val="000000" w:themeColor="text1"/>
          <w:sz w:val="24"/>
          <w:szCs w:val="24"/>
        </w:rPr>
        <w:t xml:space="preserve">, caso se trate de pessoa física, desde que admitida a sua </w:t>
      </w:r>
      <w:r>
        <w:rPr>
          <w:rFonts w:ascii="Times New Roman" w:hAnsi="Times New Roman" w:cs="Times New Roman"/>
          <w:color w:val="000000" w:themeColor="text1"/>
          <w:sz w:val="24"/>
          <w:szCs w:val="24"/>
          <w:highlight w:val="white"/>
        </w:rPr>
        <w:t xml:space="preserve">contratação</w:t>
      </w:r>
      <w:r>
        <w:rPr>
          <w:rFonts w:ascii="Times New Roman" w:hAnsi="Times New Roman" w:cs="Times New Roman"/>
          <w:color w:val="000000" w:themeColor="text1"/>
          <w:sz w:val="24"/>
          <w:szCs w:val="24"/>
        </w:rPr>
        <w:t xml:space="preserve"> (</w:t>
      </w:r>
      <w:hyperlink r:id="rId42" w:tooltip="https://www.gov.br/compras/pt-br/acesso-a-informacao/legislacao/instrucoes-normativas/instrucao-normativa-seges-me-no-116-de-21-de-dezembro-de-2021#art5" w:anchor="art5" w:history="1">
        <w:r>
          <w:rPr>
            <w:rStyle w:val="1052"/>
            <w:rFonts w:ascii="Times New Roman" w:hAnsi="Times New Roman" w:cs="Times New Roman"/>
            <w:color w:val="000000" w:themeColor="text1"/>
            <w:sz w:val="24"/>
            <w:szCs w:val="24"/>
          </w:rPr>
          <w:t xml:space="preserve">art. 5º, inciso II, alínea “c”, da Instrução Normativa Seges/ME nº 116, de 2021</w:t>
        </w:r>
      </w:hyperlink>
      <w:r>
        <w:rPr>
          <w:rFonts w:ascii="Times New Roman" w:hAnsi="Times New Roman" w:cs="Times New Roman"/>
          <w:color w:val="000000" w:themeColor="text1"/>
          <w:sz w:val="24"/>
          <w:szCs w:val="24"/>
        </w:rPr>
        <w:t xml:space="preserve">), ou de sociedade simples; </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Certidão negativa de falência expedida pelo distribuidor da sede do fornecedor - </w:t>
      </w:r>
      <w:hyperlink r:id="rId43" w:tooltip="http://www.planalto.gov.br/ccivil_03/_ato2019-2022/2021/lei/L14133.htm#art69" w:anchor="art69" w:history="1">
        <w:r>
          <w:rPr>
            <w:rStyle w:val="1052"/>
            <w:rFonts w:ascii="Times New Roman" w:hAnsi="Times New Roman" w:cs="Times New Roman"/>
            <w:color w:val="000000" w:themeColor="text1"/>
            <w:sz w:val="24"/>
            <w:szCs w:val="24"/>
          </w:rPr>
          <w:t xml:space="preserve">Lei nº 14.133, de 2021, art. 69, caput, inciso II</w:t>
        </w:r>
      </w:hyperlink>
      <w:r>
        <w:rPr>
          <w:rFonts w:ascii="Times New Roman" w:hAnsi="Times New Roman" w:cs="Times New Roman"/>
          <w:color w:val="000000" w:themeColor="text1"/>
          <w:sz w:val="24"/>
          <w:szCs w:val="24"/>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w:t>
      </w:r>
      <w:r>
        <w:rPr>
          <w:rFonts w:ascii="Times New Roman" w:hAnsi="Times New Roman" w:cs="Times New Roman"/>
          <w:color w:val="000000" w:themeColor="text1"/>
          <w:sz w:val="24"/>
          <w:szCs w:val="24"/>
        </w:rPr>
        <w:t xml:space="preserve">alanço patrimonial, demonstração de resultado de exercício e demais demonstrações contábeis dos 2 (dois) últimos exercícios sociais, comprovando;</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6"/>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As empresas criadas no exercício financeiro da </w:t>
      </w:r>
      <w:r>
        <w:rPr>
          <w:rFonts w:ascii="Times New Roman" w:hAnsi="Times New Roman" w:cs="Times New Roman"/>
          <w:color w:val="000000" w:themeColor="text1"/>
          <w:sz w:val="24"/>
          <w:szCs w:val="24"/>
        </w:rPr>
        <w:t xml:space="preserve">contratação direta</w:t>
      </w:r>
      <w:r>
        <w:rPr>
          <w:rFonts w:ascii="Times New Roman" w:hAnsi="Times New Roman" w:cs="Times New Roman"/>
          <w:color w:val="000000" w:themeColor="text1"/>
          <w:sz w:val="24"/>
          <w:szCs w:val="24"/>
        </w:rPr>
        <w:t xml:space="preserve"> deverão atender a todas as exigências da habilitação e poderão substituir os demonstrativos contábeis pelo balanço de abertura.</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6"/>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Os documentos referidos acima limitar-se-ão ao último exercício no caso de a pessoa jurídica ter sido constituída há menos de 2 (dois) anos</w:t>
      </w:r>
      <w:r>
        <w:rPr>
          <w:rFonts w:ascii="Times New Roman" w:hAnsi="Times New Roman" w:cs="Times New Roman"/>
          <w:color w:val="000000" w:themeColor="text1"/>
          <w:sz w:val="24"/>
          <w:szCs w:val="24"/>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6"/>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Os documentos referidos </w:t>
      </w:r>
      <w:r>
        <w:rPr>
          <w:rFonts w:ascii="Times New Roman" w:hAnsi="Times New Roman" w:cs="Times New Roman"/>
          <w:color w:val="000000" w:themeColor="text1"/>
          <w:sz w:val="24"/>
          <w:szCs w:val="24"/>
        </w:rPr>
        <w:t xml:space="preserve">acima deverão ser exigidos com base no limite definido pela Receita Federal do Brasil para transmissão da Escrituração Contábil Digital - ECD ao </w:t>
      </w:r>
      <w:r>
        <w:rPr>
          <w:rFonts w:ascii="Times New Roman" w:hAnsi="Times New Roman" w:cs="Times New Roman"/>
          <w:color w:val="000000" w:themeColor="text1"/>
          <w:sz w:val="24"/>
          <w:szCs w:val="24"/>
        </w:rPr>
        <w:t xml:space="preserve">Sped</w:t>
      </w:r>
      <w:r>
        <w:rPr>
          <w:rFonts w:ascii="Times New Roman" w:hAnsi="Times New Roman" w:cs="Times New Roman"/>
          <w:color w:val="000000" w:themeColor="text1"/>
          <w:sz w:val="24"/>
          <w:szCs w:val="24"/>
        </w:rPr>
        <w:t xml:space="preserve">.</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094"/>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As empresas criadas no exercício financeiro da </w:t>
      </w:r>
      <w:r>
        <w:rPr>
          <w:rFonts w:ascii="Times New Roman" w:hAnsi="Times New Roman" w:cs="Times New Roman"/>
          <w:color w:val="000000" w:themeColor="text1"/>
          <w:sz w:val="24"/>
          <w:szCs w:val="24"/>
        </w:rPr>
        <w:t xml:space="preserve">contratação direta</w:t>
      </w:r>
      <w:r>
        <w:rPr>
          <w:rFonts w:ascii="Times New Roman" w:hAnsi="Times New Roman" w:cs="Times New Roman"/>
          <w:color w:val="000000" w:themeColor="text1"/>
          <w:sz w:val="24"/>
          <w:szCs w:val="24"/>
        </w:rPr>
        <w:t xml:space="preserve"> deverão atender a todas as exigências da habilitação e poderão substituir os demonstrativos contábeis pelo balanço de abertura. (Lei nº 14.133, de 2021, art. 65, §1º). </w:t>
      </w:r>
      <w:r>
        <w:rPr>
          <w:rFonts w:ascii="Times New Roman" w:hAnsi="Times New Roman" w:cs="Times New Roman"/>
          <w:i w:val="0"/>
          <w:iCs w:val="0"/>
          <w:color w:val="000000" w:themeColor="text1"/>
          <w:sz w:val="24"/>
          <w:szCs w:val="24"/>
        </w:rPr>
        <w:t xml:space="preserve">O atendimento dos índices econômicos previstos neste item deverá ser atestado mediante declaração assinada por profissional habilitado da área contábil, apresentada pelo fornecedor.</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165"/>
        <w:pBdr/>
        <w:spacing/>
        <w:ind/>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Qualificação Técnica</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p>
      <w:pPr>
        <w:pStyle w:val="1144"/>
        <w:pBdr/>
        <w:spacing/>
        <w:ind/>
        <w:rPr>
          <w:rFonts w:ascii="Times New Roman" w:hAnsi="Times New Roman" w:eastAsia="MS Mincho"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Declaração de que o</w:t>
      </w:r>
      <w:r>
        <w:rPr>
          <w:rFonts w:ascii="Times New Roman" w:hAnsi="Times New Roman" w:cs="Times New Roman"/>
          <w:i w:val="0"/>
          <w:iCs w:val="0"/>
          <w:color w:val="000000" w:themeColor="text1"/>
          <w:sz w:val="24"/>
          <w:szCs w:val="24"/>
        </w:rPr>
        <w:t xml:space="preserve"> interessado</w:t>
      </w:r>
      <w:r>
        <w:rPr>
          <w:rFonts w:ascii="Times New Roman" w:hAnsi="Times New Roman" w:cs="Times New Roman"/>
          <w:i w:val="0"/>
          <w:iCs w:val="0"/>
          <w:color w:val="000000" w:themeColor="text1"/>
          <w:sz w:val="24"/>
          <w:szCs w:val="24"/>
        </w:rPr>
        <w:t xml:space="preserve"> tomou conhecimento de todas as informações e das condições locais para o cumprimento das obrigações objeto da </w:t>
      </w:r>
      <w:r>
        <w:rPr>
          <w:rFonts w:ascii="Times New Roman" w:hAnsi="Times New Roman" w:cs="Times New Roman"/>
          <w:i w:val="0"/>
          <w:iCs w:val="0"/>
          <w:color w:val="000000" w:themeColor="text1"/>
          <w:sz w:val="24"/>
          <w:szCs w:val="24"/>
        </w:rPr>
        <w:t xml:space="preserve">contratação</w:t>
      </w:r>
      <w:r>
        <w:rPr>
          <w:rFonts w:ascii="Times New Roman" w:hAnsi="Times New Roman" w:cs="Times New Roman"/>
          <w:i w:val="0"/>
          <w:iCs w:val="0"/>
          <w:color w:val="000000" w:themeColor="text1"/>
          <w:sz w:val="24"/>
          <w:szCs w:val="24"/>
        </w:rPr>
        <w:t xml:space="preserve">; </w:t>
      </w:r>
      <w:r>
        <w:rPr>
          <w:rFonts w:ascii="Times New Roman" w:hAnsi="Times New Roman" w:eastAsia="MS Mincho" w:cs="Times New Roman"/>
          <w:i w:val="0"/>
          <w:iCs w:val="0"/>
          <w:color w:val="000000" w:themeColor="text1"/>
          <w:sz w:val="24"/>
          <w:szCs w:val="24"/>
        </w:rPr>
      </w:r>
      <w:r>
        <w:rPr>
          <w:rFonts w:ascii="Times New Roman" w:hAnsi="Times New Roman" w:eastAsia="MS Mincho" w:cs="Times New Roman"/>
          <w:i w:val="0"/>
          <w:iCs w:val="0"/>
          <w:color w:val="000000" w:themeColor="text1"/>
          <w:sz w:val="24"/>
          <w:szCs w:val="24"/>
        </w:rPr>
      </w:r>
    </w:p>
    <w:p>
      <w:pPr>
        <w:pStyle w:val="1144"/>
        <w:pBdr/>
        <w:spacing/>
        <w:ind/>
        <w:rPr>
          <w:rFonts w:ascii="Times New Roman" w:hAnsi="Times New Roman" w:eastAsia="MS Mincho"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A declaração acima poderá ser substituída por declaração formal assinada pelo responsável técnico do</w:t>
      </w:r>
      <w:r>
        <w:rPr>
          <w:rFonts w:ascii="Times New Roman" w:hAnsi="Times New Roman" w:cs="Times New Roman"/>
          <w:i w:val="0"/>
          <w:iCs w:val="0"/>
          <w:color w:val="000000" w:themeColor="text1"/>
          <w:sz w:val="24"/>
          <w:szCs w:val="24"/>
        </w:rPr>
        <w:t xml:space="preserve"> interessado</w:t>
      </w:r>
      <w:r>
        <w:rPr>
          <w:rFonts w:ascii="Times New Roman" w:hAnsi="Times New Roman" w:cs="Times New Roman"/>
          <w:i w:val="0"/>
          <w:iCs w:val="0"/>
          <w:color w:val="000000" w:themeColor="text1"/>
          <w:sz w:val="24"/>
          <w:szCs w:val="24"/>
        </w:rPr>
        <w:t xml:space="preserve"> acerca do conhecimento pleno das condições e peculiaridades da contratação.</w:t>
      </w:r>
      <w:r>
        <w:rPr>
          <w:rFonts w:ascii="Times New Roman" w:hAnsi="Times New Roman" w:eastAsia="MS Mincho" w:cs="Times New Roman"/>
          <w:i w:val="0"/>
          <w:iCs w:val="0"/>
          <w:color w:val="000000" w:themeColor="text1"/>
          <w:sz w:val="24"/>
          <w:szCs w:val="24"/>
        </w:rPr>
      </w:r>
      <w:r>
        <w:rPr>
          <w:rFonts w:ascii="Times New Roman" w:hAnsi="Times New Roman" w:eastAsia="MS Mincho" w:cs="Times New Roman"/>
          <w:i w:val="0"/>
          <w:iCs w:val="0"/>
          <w:color w:val="000000" w:themeColor="text1"/>
          <w:sz w:val="24"/>
          <w:szCs w:val="24"/>
        </w:rPr>
      </w:r>
    </w:p>
    <w:p>
      <w:pPr>
        <w:pStyle w:val="1144"/>
        <w:pBdr/>
        <w:spacing/>
        <w:ind/>
        <w:rPr>
          <w:rFonts w:ascii="Times New Roman" w:hAnsi="Times New Roman" w:cs="Times New Roman"/>
          <w:i w:val="0"/>
          <w:iCs w:val="0"/>
          <w:color w:val="000000" w:themeColor="text1"/>
          <w:sz w:val="24"/>
          <w:szCs w:val="24"/>
          <w:lang w:eastAsia="zh-CN" w:bidi="hi-IN"/>
        </w:rPr>
      </w:pPr>
      <w:r>
        <w:rPr>
          <w:rFonts w:ascii="Times New Roman" w:hAnsi="Times New Roman" w:cs="Times New Roman"/>
          <w:i w:val="0"/>
          <w:iCs w:val="0"/>
          <w:color w:val="000000" w:themeColor="text1"/>
          <w:sz w:val="24"/>
          <w:szCs w:val="24"/>
        </w:rPr>
        <w:t xml:space="preserve">Sociedades empresárias estrangeiras atenderão à exigência por meio da apresentação, no momento da assinatura do contrato, da solicitação de registro perante a entidade profissional competente no Brasil.</w:t>
      </w:r>
      <w:r>
        <w:rPr>
          <w:rFonts w:ascii="Times New Roman" w:hAnsi="Times New Roman" w:cs="Times New Roman"/>
          <w:i w:val="0"/>
          <w:iCs w:val="0"/>
          <w:color w:val="000000" w:themeColor="text1"/>
          <w:sz w:val="24"/>
          <w:szCs w:val="24"/>
          <w:lang w:eastAsia="zh-CN" w:bidi="hi-IN"/>
        </w:rPr>
      </w:r>
      <w:r>
        <w:rPr>
          <w:rFonts w:ascii="Times New Roman" w:hAnsi="Times New Roman" w:cs="Times New Roman"/>
          <w:i w:val="0"/>
          <w:iCs w:val="0"/>
          <w:color w:val="000000" w:themeColor="text1"/>
          <w:sz w:val="24"/>
          <w:szCs w:val="24"/>
          <w:lang w:eastAsia="zh-CN" w:bidi="hi-IN"/>
        </w:rPr>
      </w:r>
    </w:p>
    <w:p>
      <w:pPr>
        <w:pStyle w:val="1144"/>
        <w:pBdr/>
        <w:spacing/>
        <w:ind/>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 xml:space="preserve">Comprovação de aptidão para o fornecimento de bens similares de complexidade tecnológica e operacional equivalente ou </w:t>
      </w:r>
      <w:r>
        <w:rPr>
          <w:rFonts w:ascii="Times New Roman" w:hAnsi="Times New Roman" w:cs="Times New Roman"/>
          <w:i w:val="0"/>
          <w:iCs w:val="0"/>
          <w:color w:val="000000" w:themeColor="text1"/>
          <w:sz w:val="24"/>
          <w:szCs w:val="24"/>
        </w:rPr>
        <w:t xml:space="preserve">superior com o objeto desta contratação, ou com o item pertinente, por meio da apresentação de certidões ou atestados, por pessoas jurídicas de direito público ou privado, ou regularmente emitido(s) pelo conselho profissional competente, quando for o caso.</w:t>
      </w:r>
      <w:r>
        <w:rPr>
          <w:rFonts w:ascii="Times New Roman" w:hAnsi="Times New Roman" w:cs="Times New Roman"/>
          <w:i w:val="0"/>
          <w:iCs w:val="0"/>
          <w:color w:val="000000" w:themeColor="text1"/>
          <w:sz w:val="24"/>
          <w:szCs w:val="24"/>
        </w:rPr>
      </w:r>
      <w:r>
        <w:rPr>
          <w:rFonts w:ascii="Times New Roman" w:hAnsi="Times New Roman" w:cs="Times New Roman"/>
          <w:i w:val="0"/>
          <w:iCs w:val="0"/>
          <w:color w:val="000000" w:themeColor="text1"/>
          <w:sz w:val="24"/>
          <w:szCs w:val="24"/>
        </w:rPr>
      </w:r>
    </w:p>
    <w:p>
      <w:pPr>
        <w:pStyle w:val="1145"/>
        <w:pBdr/>
        <w:spacing/>
        <w:ind/>
        <w:rPr>
          <w:shd w:val="clear" w:color="auto" w:fill="ffff00"/>
        </w:rPr>
      </w:pPr>
      <w:r>
        <w:t xml:space="preserve">Os atestados de capacidade técnica poderão ser apresentados em nome da matriz ou da filial do fornecedor.</w:t>
      </w:r>
      <w:r>
        <w:rPr>
          <w:shd w:val="clear" w:color="auto" w:fill="ffff00"/>
        </w:rPr>
      </w:r>
      <w:r>
        <w:rPr>
          <w:shd w:val="clear" w:color="auto" w:fill="ffff00"/>
        </w:rPr>
      </w:r>
    </w:p>
    <w:p>
      <w:pPr>
        <w:pStyle w:val="1145"/>
        <w:pBdr/>
        <w:spacing/>
        <w:ind/>
        <w:rPr/>
      </w:pPr>
      <w:r>
        <w:t xml:space="preserve">O fornecedor disponibilizará todas as informações necessá</w:t>
      </w:r>
      <w:r>
        <w:t xml:space="preserve">rias à comprovação da legitimidade dos atestados, apresentando, quando solicitado pela Administração, cópia do contrato que deu suporte à contratação, endereço atual da contratante e local em que foi executado o objeto contratado, dentre outros documentos.</w:t>
      </w: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ESTIMATIVAS DO VALOR DA CONTRATAÇÃO</w:t>
      </w:r>
      <w:r>
        <w:rPr>
          <w:rFonts w:ascii="Times New Roman" w:hAnsi="Times New Roman" w:cs="Times New Roman"/>
          <w:sz w:val="24"/>
          <w:szCs w:val="24"/>
        </w:rPr>
      </w:r>
      <w:r>
        <w:rPr>
          <w:rFonts w:ascii="Times New Roman" w:hAnsi="Times New Roman" w:cs="Times New Roman"/>
          <w:sz w:val="24"/>
          <w:szCs w:val="24"/>
        </w:rPr>
      </w:r>
    </w:p>
    <w:p>
      <w:pPr>
        <w:pStyle w:val="1144"/>
        <w:pBdr/>
        <w:spacing/>
        <w:ind/>
        <w:rPr>
          <w:rFonts w:ascii="Times New Roman" w:hAnsi="Times New Roman" w:cs="Times New Roman"/>
          <w:b/>
          <w:bCs/>
          <w:i w:val="0"/>
          <w:iCs w:val="0"/>
          <w:color w:val="000000" w:themeColor="text1"/>
          <w:sz w:val="24"/>
          <w:szCs w:val="24"/>
        </w:rPr>
      </w:pPr>
      <w:r>
        <w:rPr>
          <w:rFonts w:ascii="Times New Roman" w:hAnsi="Times New Roman" w:cs="Times New Roman"/>
          <w:i w:val="0"/>
          <w:iCs w:val="0"/>
          <w:color w:val="000000" w:themeColor="text1"/>
          <w:sz w:val="24"/>
          <w:szCs w:val="24"/>
        </w:rPr>
        <w:t xml:space="preserve">O custo estimado total da contratação é de R$</w:t>
      </w:r>
      <w:r>
        <w:rPr>
          <w:rFonts w:ascii="Times New Roman" w:hAnsi="Times New Roman" w:cs="Times New Roman"/>
          <w:i w:val="0"/>
          <w:iCs w:val="0"/>
          <w:color w:val="000000" w:themeColor="text1"/>
          <w:sz w:val="24"/>
          <w:szCs w:val="24"/>
        </w:rPr>
        <w:t xml:space="preserve"> 13.285,00</w:t>
      </w:r>
      <w:r>
        <w:rPr>
          <w:rFonts w:ascii="Times New Roman" w:hAnsi="Times New Roman" w:cs="Times New Roman"/>
          <w:i w:val="0"/>
          <w:iCs w:val="0"/>
          <w:color w:val="000000" w:themeColor="text1"/>
          <w:sz w:val="24"/>
          <w:szCs w:val="24"/>
        </w:rPr>
        <w:t xml:space="preserve"> (treze</w:t>
      </w:r>
      <w:r>
        <w:rPr>
          <w:rFonts w:ascii="Times New Roman" w:hAnsi="Times New Roman" w:cs="Times New Roman"/>
          <w:i w:val="0"/>
          <w:iCs w:val="0"/>
          <w:color w:val="000000" w:themeColor="text1"/>
          <w:sz w:val="24"/>
          <w:szCs w:val="24"/>
        </w:rPr>
        <w:t xml:space="preserve"> mil, duzentos e oitenta e cinco reais)</w:t>
      </w:r>
      <w:r>
        <w:rPr>
          <w:rFonts w:ascii="Times New Roman" w:hAnsi="Times New Roman" w:cs="Times New Roman"/>
          <w:i w:val="0"/>
          <w:iCs w:val="0"/>
          <w:color w:val="000000" w:themeColor="text1"/>
          <w:sz w:val="24"/>
          <w:szCs w:val="24"/>
        </w:rPr>
        <w:t xml:space="preserve">, conforme custos unitários apostos na tabela acima.</w:t>
      </w:r>
      <w:r>
        <w:rPr>
          <w:rFonts w:ascii="Times New Roman" w:hAnsi="Times New Roman" w:cs="Times New Roman"/>
          <w:b/>
          <w:bCs/>
          <w:i w:val="0"/>
          <w:iCs w:val="0"/>
          <w:color w:val="000000" w:themeColor="text1"/>
          <w:sz w:val="24"/>
          <w:szCs w:val="24"/>
        </w:rPr>
      </w:r>
      <w:r>
        <w:rPr>
          <w:rFonts w:ascii="Times New Roman" w:hAnsi="Times New Roman" w:cs="Times New Roman"/>
          <w:b/>
          <w:bCs/>
          <w:i w:val="0"/>
          <w:iCs w:val="0"/>
          <w:color w:val="000000" w:themeColor="text1"/>
          <w:sz w:val="24"/>
          <w:szCs w:val="24"/>
        </w:rPr>
      </w:r>
    </w:p>
    <w:p>
      <w:pPr>
        <w:pStyle w:val="1074"/>
        <w:pBdr/>
        <w:spacing/>
        <w:ind/>
        <w:rPr>
          <w:rFonts w:ascii="Times New Roman" w:hAnsi="Times New Roman" w:cs="Times New Roman"/>
          <w:sz w:val="24"/>
          <w:szCs w:val="24"/>
        </w:rPr>
      </w:pPr>
      <w:r>
        <w:rPr>
          <w:rFonts w:ascii="Times New Roman" w:hAnsi="Times New Roman" w:cs="Times New Roman"/>
          <w:sz w:val="24"/>
          <w:szCs w:val="24"/>
        </w:rPr>
        <w:t xml:space="preserve">ADEQUAÇÃO ORÇAMENTÁRIA</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As despesas decorrentes da presente contratação correrão à conta de recursos específicos consignados no Orçamento Geral da União.</w:t>
      </w:r>
      <w:r>
        <w:rPr>
          <w:rFonts w:ascii="Times New Roman" w:hAnsi="Times New Roman" w:cs="Times New Roman"/>
          <w:sz w:val="24"/>
          <w:szCs w:val="24"/>
        </w:rPr>
      </w:r>
      <w:r>
        <w:rPr>
          <w:rFonts w:ascii="Times New Roman" w:hAnsi="Times New Roman" w:cs="Times New Roman"/>
          <w:sz w:val="24"/>
          <w:szCs w:val="24"/>
        </w:rPr>
      </w:r>
    </w:p>
    <w:p>
      <w:pPr>
        <w:pStyle w:val="1094"/>
        <w:pBdr/>
        <w:spacing/>
        <w:ind/>
        <w:rPr>
          <w:rFonts w:ascii="Times New Roman" w:hAnsi="Times New Roman" w:cs="Times New Roman"/>
          <w:sz w:val="24"/>
          <w:szCs w:val="24"/>
        </w:rPr>
      </w:pPr>
      <w:r>
        <w:rPr>
          <w:rFonts w:ascii="Times New Roman" w:hAnsi="Times New Roman" w:cs="Times New Roman"/>
          <w:sz w:val="24"/>
          <w:szCs w:val="24"/>
        </w:rPr>
        <w:t xml:space="preserve">A contratação será atendida pela seguinte dotação:</w:t>
      </w:r>
      <w:r>
        <w:rPr>
          <w:rFonts w:ascii="Times New Roman" w:hAnsi="Times New Roman" w:cs="Times New Roman"/>
          <w:sz w:val="24"/>
          <w:szCs w:val="24"/>
        </w:rPr>
      </w:r>
      <w:r>
        <w:rPr>
          <w:rFonts w:ascii="Times New Roman" w:hAnsi="Times New Roman" w:cs="Times New Roman"/>
          <w:sz w:val="24"/>
          <w:szCs w:val="24"/>
        </w:rPr>
      </w:r>
    </w:p>
    <w:p>
      <w:pPr>
        <w:pStyle w:val="1044"/>
        <w:numPr>
          <w:ilvl w:val="0"/>
          <w:numId w:val="40"/>
        </w:numPr>
        <w:pBdr/>
        <w:spacing w:after="120" w:before="120" w:line="276" w:lineRule="auto"/>
        <w:ind w:firstLine="0" w:left="284"/>
        <w:jc w:val="both"/>
        <w:rPr>
          <w:rFonts w:ascii="Times New Roman" w:hAnsi="Times New Roman" w:eastAsia="Arial" w:cs="Times New Roman"/>
        </w:rPr>
      </w:pPr>
      <w:r>
        <w:rPr>
          <w:rFonts w:ascii="Times New Roman" w:hAnsi="Times New Roman" w:eastAsia="Arial" w:cs="Times New Roman"/>
        </w:rPr>
        <w:t xml:space="preserve">Gestão/Unidade: </w:t>
      </w:r>
      <w:r>
        <w:rPr>
          <w:rFonts w:ascii="Times New Roman" w:hAnsi="Times New Roman" w:eastAsia="Arial" w:cs="Times New Roman"/>
        </w:rPr>
        <w:t xml:space="preserve">160504</w:t>
      </w:r>
      <w:r>
        <w:rPr>
          <w:rFonts w:ascii="Times New Roman" w:hAnsi="Times New Roman" w:eastAsia="Arial" w:cs="Times New Roman"/>
        </w:rPr>
        <w:t xml:space="preserve">;</w:t>
      </w:r>
      <w:r>
        <w:rPr>
          <w:rFonts w:ascii="Times New Roman" w:hAnsi="Times New Roman" w:eastAsia="Arial" w:cs="Times New Roman"/>
        </w:rPr>
      </w:r>
      <w:r>
        <w:rPr>
          <w:rFonts w:ascii="Times New Roman" w:hAnsi="Times New Roman" w:eastAsia="Arial" w:cs="Times New Roman"/>
        </w:rPr>
      </w:r>
    </w:p>
    <w:p>
      <w:pPr>
        <w:pStyle w:val="1044"/>
        <w:numPr>
          <w:ilvl w:val="0"/>
          <w:numId w:val="40"/>
        </w:numPr>
        <w:pBdr/>
        <w:spacing w:after="120" w:before="120" w:line="276" w:lineRule="auto"/>
        <w:ind w:firstLine="0" w:left="284"/>
        <w:jc w:val="both"/>
        <w:rPr>
          <w:rFonts w:ascii="Times New Roman" w:hAnsi="Times New Roman" w:eastAsia="Arial" w:cs="Times New Roman"/>
        </w:rPr>
      </w:pPr>
      <w:r>
        <w:rPr>
          <w:rFonts w:ascii="Times New Roman" w:hAnsi="Times New Roman" w:eastAsia="Arial" w:cs="Times New Roman"/>
        </w:rPr>
        <w:t xml:space="preserve">Fonte de Recursos: </w:t>
      </w:r>
      <w:r>
        <w:rPr>
          <w:rFonts w:ascii="Times New Roman" w:hAnsi="Times New Roman" w:eastAsia="Arial" w:cs="Times New Roman"/>
        </w:rPr>
        <w:t xml:space="preserve">10000000</w:t>
      </w:r>
      <w:r>
        <w:rPr>
          <w:rFonts w:ascii="Times New Roman" w:hAnsi="Times New Roman" w:eastAsia="Arial" w:cs="Times New Roman"/>
        </w:rPr>
        <w:t xml:space="preserve">;</w:t>
      </w:r>
      <w:r>
        <w:rPr>
          <w:rFonts w:ascii="Times New Roman" w:hAnsi="Times New Roman" w:eastAsia="Arial" w:cs="Times New Roman"/>
        </w:rPr>
      </w:r>
      <w:r>
        <w:rPr>
          <w:rFonts w:ascii="Times New Roman" w:hAnsi="Times New Roman" w:eastAsia="Arial" w:cs="Times New Roman"/>
        </w:rPr>
      </w:r>
    </w:p>
    <w:p>
      <w:pPr>
        <w:pStyle w:val="1044"/>
        <w:numPr>
          <w:ilvl w:val="0"/>
          <w:numId w:val="40"/>
        </w:numPr>
        <w:pBdr/>
        <w:spacing w:after="120" w:before="120" w:line="276" w:lineRule="auto"/>
        <w:ind w:firstLine="0" w:left="284"/>
        <w:jc w:val="both"/>
        <w:rPr>
          <w:rFonts w:ascii="Times New Roman" w:hAnsi="Times New Roman" w:eastAsia="Arial" w:cs="Times New Roman"/>
        </w:rPr>
      </w:pPr>
      <w:r>
        <w:rPr>
          <w:rFonts w:ascii="Times New Roman" w:hAnsi="Times New Roman" w:eastAsia="Arial" w:cs="Times New Roman"/>
        </w:rPr>
        <w:t xml:space="preserve">Programa de Trabalho: </w:t>
      </w:r>
      <w:r>
        <w:rPr>
          <w:rFonts w:ascii="Times New Roman" w:hAnsi="Times New Roman" w:eastAsia="Arial" w:cs="Times New Roman"/>
        </w:rPr>
        <w:t xml:space="preserve">232153</w:t>
      </w:r>
      <w:r>
        <w:rPr>
          <w:rFonts w:ascii="Times New Roman" w:hAnsi="Times New Roman" w:eastAsia="Arial" w:cs="Times New Roman"/>
        </w:rPr>
        <w:t xml:space="preserve">;</w:t>
      </w:r>
      <w:r>
        <w:rPr>
          <w:rFonts w:ascii="Times New Roman" w:hAnsi="Times New Roman" w:eastAsia="Arial" w:cs="Times New Roman"/>
        </w:rPr>
      </w:r>
      <w:r>
        <w:rPr>
          <w:rFonts w:ascii="Times New Roman" w:hAnsi="Times New Roman" w:eastAsia="Arial" w:cs="Times New Roman"/>
        </w:rPr>
      </w:r>
    </w:p>
    <w:p>
      <w:pPr>
        <w:pStyle w:val="1044"/>
        <w:numPr>
          <w:ilvl w:val="0"/>
          <w:numId w:val="40"/>
        </w:numPr>
        <w:pBdr/>
        <w:spacing w:after="120" w:before="120" w:line="276" w:lineRule="auto"/>
        <w:ind w:firstLine="0" w:left="284"/>
        <w:jc w:val="both"/>
        <w:rPr>
          <w:rFonts w:ascii="Times New Roman" w:hAnsi="Times New Roman" w:eastAsia="Arial" w:cs="Times New Roman"/>
        </w:rPr>
      </w:pPr>
      <w:r>
        <w:rPr>
          <w:rFonts w:ascii="Times New Roman" w:hAnsi="Times New Roman" w:eastAsia="Arial" w:cs="Times New Roman"/>
        </w:rPr>
        <w:t xml:space="preserve">Elemento de Despesa: </w:t>
      </w:r>
      <w:r>
        <w:rPr>
          <w:rFonts w:ascii="Times New Roman" w:hAnsi="Times New Roman" w:eastAsia="Arial" w:cs="Times New Roman"/>
        </w:rPr>
        <w:t xml:space="preserve">449052;</w:t>
      </w:r>
      <w:r>
        <w:rPr>
          <w:rFonts w:ascii="Times New Roman" w:hAnsi="Times New Roman" w:eastAsia="Arial" w:cs="Times New Roman"/>
        </w:rPr>
      </w:r>
      <w:r>
        <w:rPr>
          <w:rFonts w:ascii="Times New Roman" w:hAnsi="Times New Roman" w:eastAsia="Arial" w:cs="Times New Roman"/>
        </w:rPr>
      </w:r>
    </w:p>
    <w:p>
      <w:pPr>
        <w:pStyle w:val="1044"/>
        <w:numPr>
          <w:ilvl w:val="0"/>
          <w:numId w:val="40"/>
        </w:numPr>
        <w:pBdr/>
        <w:spacing w:after="120" w:before="120" w:line="276" w:lineRule="auto"/>
        <w:ind w:firstLine="0" w:left="284"/>
        <w:jc w:val="both"/>
        <w:rPr>
          <w:rFonts w:ascii="Times New Roman" w:hAnsi="Times New Roman" w:eastAsia="MS Mincho" w:cs="Times New Roman"/>
        </w:rPr>
      </w:pPr>
      <w:r>
        <w:rPr>
          <w:rFonts w:ascii="Times New Roman" w:hAnsi="Times New Roman" w:eastAsia="Arial" w:cs="Times New Roman"/>
        </w:rPr>
        <w:t xml:space="preserve">Plano Interno: </w:t>
      </w:r>
      <w:r>
        <w:rPr>
          <w:rFonts w:ascii="Times New Roman" w:hAnsi="Times New Roman" w:eastAsia="Arial" w:cs="Times New Roman"/>
        </w:rPr>
        <w:t xml:space="preserve">E6MUPLJDEPA;</w:t>
      </w:r>
      <w:bookmarkEnd w:id="0"/>
      <w:r>
        <w:rPr>
          <w:rFonts w:ascii="Times New Roman" w:hAnsi="Times New Roman" w:eastAsia="MS Mincho" w:cs="Times New Roman"/>
        </w:rPr>
      </w:r>
      <w:r>
        <w:rPr>
          <w:rFonts w:ascii="Times New Roman" w:hAnsi="Times New Roman" w:eastAsia="MS Mincho" w:cs="Times New Roman"/>
        </w:rPr>
      </w:r>
    </w:p>
    <w:p>
      <w:pPr>
        <w:pStyle w:val="1094"/>
        <w:numPr>
          <w:ilvl w:val="0"/>
          <w:numId w:val="0"/>
        </w:numPr>
        <w:pBdr/>
        <w:spacing/>
        <w:ind/>
        <w:rPr>
          <w:rFonts w:ascii="Times New Roman" w:hAnsi="Times New Roman" w:cs="Times New Roman"/>
          <w:sz w:val="12"/>
          <w:szCs w:val="12"/>
        </w:rPr>
      </w:pPr>
      <w:r>
        <w:rPr>
          <w:rFonts w:ascii="Times New Roman" w:hAnsi="Times New Roman" w:cs="Times New Roman"/>
          <w:sz w:val="12"/>
          <w:szCs w:val="12"/>
        </w:rPr>
      </w:r>
      <w:r>
        <w:rPr>
          <w:rFonts w:ascii="Times New Roman" w:hAnsi="Times New Roman" w:cs="Times New Roman"/>
          <w:sz w:val="12"/>
          <w:szCs w:val="12"/>
        </w:rPr>
      </w:r>
      <w:r>
        <w:rPr>
          <w:rFonts w:ascii="Times New Roman" w:hAnsi="Times New Roman" w:cs="Times New Roman"/>
          <w:sz w:val="12"/>
          <w:szCs w:val="12"/>
        </w:rPr>
      </w:r>
    </w:p>
    <w:p>
      <w:pPr>
        <w:pBdr/>
        <w:tabs>
          <w:tab w:val="left" w:leader="none" w:pos="1440"/>
          <w:tab w:val="left" w:leader="none" w:pos="4140"/>
        </w:tabs>
        <w:spacing w:after="120" w:before="120" w:line="276" w:lineRule="auto"/>
        <w:ind/>
        <w:jc w:val="both"/>
        <w:rPr>
          <w:rFonts w:ascii="Times New Roman" w:hAnsi="Times New Roman" w:cs="Times New Roman"/>
          <w:color w:val="000000"/>
        </w:rPr>
      </w:pPr>
      <w:r>
        <w:rPr>
          <w:rFonts w:ascii="Times New Roman" w:hAnsi="Times New Roman" w:cs="Times New Roman"/>
          <w:color w:val="000000"/>
        </w:rPr>
        <w:t xml:space="preserve">Paracambi-RJ, </w:t>
      </w:r>
      <w:r>
        <w:rPr>
          <w:rFonts w:ascii="Times New Roman" w:hAnsi="Times New Roman" w:cs="Times New Roman"/>
          <w:color w:val="000000"/>
        </w:rPr>
        <w:t xml:space="preserve">05</w:t>
      </w:r>
      <w:r>
        <w:rPr>
          <w:rFonts w:ascii="Times New Roman" w:hAnsi="Times New Roman" w:cs="Times New Roman"/>
          <w:color w:val="000000"/>
        </w:rPr>
        <w:t xml:space="preserve"> de junho</w:t>
      </w:r>
      <w:r>
        <w:rPr>
          <w:rFonts w:ascii="Times New Roman" w:hAnsi="Times New Roman" w:cs="Times New Roman"/>
          <w:color w:val="000000"/>
        </w:rPr>
        <w:t xml:space="preserve"> de 202</w:t>
      </w:r>
      <w:r>
        <w:rPr>
          <w:rFonts w:ascii="Times New Roman" w:hAnsi="Times New Roman" w:cs="Times New Roman"/>
          <w:color w:val="000000"/>
        </w:rPr>
        <w:t xml:space="preserve">4</w:t>
      </w:r>
      <w:r>
        <w:rPr>
          <w:rFonts w:ascii="Times New Roman" w:hAnsi="Times New Roman" w:cs="Times New Roman"/>
          <w:color w:val="000000"/>
        </w:rPr>
        <w:tab/>
      </w:r>
      <w:r>
        <w:rPr>
          <w:rFonts w:ascii="Times New Roman" w:hAnsi="Times New Roman" w:cs="Times New Roman"/>
          <w:color w:val="000000"/>
        </w:rPr>
      </w:r>
      <w:r>
        <w:rPr>
          <w:rFonts w:ascii="Times New Roman" w:hAnsi="Times New Roman" w:cs="Times New Roman"/>
          <w:color w:val="000000"/>
        </w:rPr>
      </w:r>
    </w:p>
    <w:p>
      <w:pPr>
        <w:pBdr/>
        <w:tabs>
          <w:tab w:val="left" w:leader="none" w:pos="1440"/>
        </w:tabs>
        <w:spacing w:after="120" w:before="120" w:line="276" w:lineRule="auto"/>
        <w:ind/>
        <w:jc w:val="both"/>
        <w:rPr>
          <w:rFonts w:ascii="Times New Roman" w:hAnsi="Times New Roman" w:cs="Times New Roman"/>
          <w:color w:val="000000"/>
        </w:rPr>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pPr>
        <w:pBdr/>
        <w:tabs>
          <w:tab w:val="left" w:leader="none" w:pos="1440"/>
        </w:tabs>
        <w:spacing w:after="120" w:before="120" w:line="276" w:lineRule="auto"/>
        <w:ind/>
        <w:jc w:val="both"/>
        <w:rPr>
          <w:rFonts w:ascii="Times New Roman" w:hAnsi="Times New Roman" w:cs="Times New Roman"/>
          <w:color w:val="000000"/>
        </w:rPr>
      </w:pPr>
      <w:r>
        <w:rPr>
          <w:rFonts w:ascii="Times New Roman" w:hAnsi="Times New Roman" w:cs="Times New Roman"/>
          <w:color w:val="000000"/>
        </w:rPr>
      </w:r>
      <w:r>
        <w:rPr>
          <w:rFonts w:ascii="Times New Roman" w:hAnsi="Times New Roman" w:cs="Times New Roman"/>
          <w:color w:val="000000"/>
        </w:rPr>
      </w:r>
      <w:r>
        <w:rPr>
          <w:rFonts w:ascii="Times New Roman" w:hAnsi="Times New Roman" w:cs="Times New Roman"/>
          <w:color w:val="000000"/>
        </w:rPr>
      </w:r>
    </w:p>
    <w:p>
      <w:pPr>
        <w:pBdr/>
        <w:spacing w:line="276" w:lineRule="auto"/>
        <w:ind/>
        <w:jc w:val="center"/>
        <w:rPr>
          <w:rFonts w:ascii="Times New Roman" w:hAnsi="Times New Roman" w:cs="Times New Roman"/>
          <w:b/>
          <w:bCs/>
          <w:iCs/>
          <w:color w:val="000000"/>
        </w:rPr>
      </w:pPr>
      <w:r>
        <w:rPr>
          <w:rFonts w:ascii="Times New Roman" w:hAnsi="Times New Roman" w:cs="Times New Roman"/>
          <w:b/>
        </w:rPr>
        <w:t xml:space="preserve">MARCELO BALTHAZAR DA SILVA FILHO</w:t>
      </w:r>
      <w:r>
        <w:rPr>
          <w:rFonts w:ascii="Times New Roman" w:hAnsi="Times New Roman" w:cs="Times New Roman"/>
          <w:b/>
        </w:rPr>
        <w:t xml:space="preserve"> – </w:t>
      </w:r>
      <w:r>
        <w:rPr>
          <w:rFonts w:ascii="Times New Roman" w:hAnsi="Times New Roman" w:cs="Times New Roman"/>
          <w:b/>
        </w:rPr>
        <w:t xml:space="preserve">1º </w:t>
      </w:r>
      <w:r>
        <w:rPr>
          <w:rFonts w:ascii="Times New Roman" w:hAnsi="Times New Roman" w:cs="Times New Roman"/>
          <w:b/>
        </w:rPr>
        <w:t xml:space="preserve">Ten</w:t>
      </w:r>
      <w:r>
        <w:rPr>
          <w:rFonts w:ascii="Times New Roman" w:hAnsi="Times New Roman" w:cs="Times New Roman"/>
          <w:b/>
          <w:bCs/>
          <w:iCs/>
          <w:color w:val="000000"/>
        </w:rPr>
      </w:r>
      <w:r>
        <w:rPr>
          <w:rFonts w:ascii="Times New Roman" w:hAnsi="Times New Roman" w:cs="Times New Roman"/>
          <w:b/>
          <w:bCs/>
          <w:iCs/>
          <w:color w:val="000000"/>
        </w:rPr>
      </w:r>
    </w:p>
    <w:p>
      <w:pPr>
        <w:pBdr/>
        <w:spacing w:line="276" w:lineRule="auto"/>
        <w:ind/>
        <w:jc w:val="center"/>
        <w:rPr>
          <w:rFonts w:ascii="Times New Roman" w:hAnsi="Times New Roman" w:cs="Times New Roman"/>
          <w:bCs/>
          <w:iCs/>
          <w:color w:val="000000"/>
        </w:rPr>
      </w:pPr>
      <w:r>
        <w:rPr>
          <w:rFonts w:ascii="Times New Roman" w:hAnsi="Times New Roman" w:cs="Times New Roman"/>
          <w:bCs/>
          <w:iCs/>
          <w:color w:val="000000"/>
        </w:rPr>
        <w:t xml:space="preserve">Chefe d</w:t>
      </w:r>
      <w:r>
        <w:rPr>
          <w:rFonts w:ascii="Times New Roman" w:hAnsi="Times New Roman" w:cs="Times New Roman"/>
          <w:bCs/>
          <w:iCs/>
          <w:color w:val="000000"/>
        </w:rPr>
        <w:t xml:space="preserve">o Setor de Aprovisionamento</w:t>
      </w:r>
      <w:r>
        <w:rPr>
          <w:rFonts w:ascii="Times New Roman" w:hAnsi="Times New Roman" w:cs="Times New Roman"/>
          <w:bCs/>
          <w:iCs/>
          <w:color w:val="000000"/>
        </w:rPr>
      </w:r>
      <w:r>
        <w:rPr>
          <w:rFonts w:ascii="Times New Roman" w:hAnsi="Times New Roman" w:cs="Times New Roman"/>
          <w:bCs/>
          <w:iCs/>
          <w:color w:val="000000"/>
        </w:rPr>
      </w:r>
    </w:p>
    <w:p>
      <w:pPr>
        <w:pStyle w:val="1137"/>
        <w:pBdr/>
        <w:spacing w:after="120" w:before="120"/>
        <w:ind/>
        <w:jc w:val="both"/>
        <w:rPr>
          <w:rFonts w:ascii="Times New Roman" w:hAnsi="Times New Roman" w:cs="Times New Roman"/>
          <w:b/>
        </w:rPr>
      </w:pPr>
      <w:r>
        <w:rPr>
          <w:rFonts w:ascii="Times New Roman" w:hAnsi="Times New Roman" w:cs="Times New Roman"/>
          <w:b/>
        </w:rPr>
        <w:t xml:space="preserve">DESPACHO DO ORDENADOR DE DESPESAS:</w:t>
      </w:r>
      <w:r>
        <w:rPr>
          <w:rFonts w:ascii="Times New Roman" w:hAnsi="Times New Roman" w:cs="Times New Roman"/>
          <w:b/>
        </w:rPr>
      </w:r>
      <w:r>
        <w:rPr>
          <w:rFonts w:ascii="Times New Roman" w:hAnsi="Times New Roman" w:cs="Times New Roman"/>
          <w:b/>
        </w:rPr>
      </w:r>
    </w:p>
    <w:p>
      <w:pPr>
        <w:pStyle w:val="1044"/>
        <w:widowControl w:val="false"/>
        <w:numPr>
          <w:ilvl w:val="0"/>
          <w:numId w:val="48"/>
        </w:numPr>
        <w:pBdr/>
        <w:tabs>
          <w:tab w:val="left" w:leader="none" w:pos="567"/>
        </w:tabs>
        <w:spacing w:line="360" w:lineRule="auto"/>
        <w:ind w:firstLine="0" w:left="0"/>
        <w:jc w:val="both"/>
        <w:rPr>
          <w:rFonts w:ascii="Times New Roman" w:hAnsi="Times New Roman" w:cs="Times New Roman"/>
        </w:rPr>
      </w:pPr>
      <w:r>
        <w:rPr>
          <w:rFonts w:ascii="Times New Roman" w:hAnsi="Times New Roman" w:cs="Times New Roman"/>
        </w:rPr>
        <w:t xml:space="preserve">Autorizo o início dos procedimentos licitatórios e determino a abertura do processo correspondente.</w:t>
      </w:r>
      <w:r>
        <w:rPr>
          <w:rFonts w:ascii="Times New Roman" w:hAnsi="Times New Roman" w:cs="Times New Roman"/>
        </w:rPr>
      </w:r>
      <w:r>
        <w:rPr>
          <w:rFonts w:ascii="Times New Roman" w:hAnsi="Times New Roman" w:cs="Times New Roman"/>
        </w:rPr>
      </w:r>
    </w:p>
    <w:p>
      <w:pPr>
        <w:pStyle w:val="1044"/>
        <w:widowControl w:val="false"/>
        <w:numPr>
          <w:ilvl w:val="0"/>
          <w:numId w:val="49"/>
        </w:numPr>
        <w:pBdr/>
        <w:tabs>
          <w:tab w:val="left" w:leader="none" w:pos="567"/>
        </w:tabs>
        <w:spacing w:line="360" w:lineRule="auto"/>
        <w:ind w:firstLine="0" w:left="0"/>
        <w:jc w:val="both"/>
        <w:rPr>
          <w:rFonts w:ascii="Times New Roman" w:hAnsi="Times New Roman" w:cs="Times New Roman"/>
        </w:rPr>
      </w:pPr>
      <w:r>
        <w:rPr>
          <w:rFonts w:ascii="Times New Roman" w:hAnsi="Times New Roman" w:cs="Times New Roman"/>
        </w:rPr>
        <w:t xml:space="preserve">A SALC adote providências cabíveis de acordo com as normas em vigor para a seleção de proposta utilizando-se a </w:t>
      </w:r>
      <w:r>
        <w:rPr>
          <w:rFonts w:ascii="Times New Roman" w:hAnsi="Times New Roman" w:eastAsia="Arial" w:cs="Times New Roman"/>
          <w:b/>
          <w:bCs/>
          <w:color w:val="00000a"/>
          <w:lang w:eastAsia="ar-SA"/>
        </w:rPr>
        <w:t xml:space="preserve">DISPENSA ELETRÔNICA </w:t>
      </w:r>
      <w:r>
        <w:rPr>
          <w:rFonts w:ascii="Times New Roman" w:hAnsi="Times New Roman" w:eastAsia="Arial" w:cs="Times New Roman"/>
          <w:color w:val="00000a"/>
          <w:lang w:eastAsia="ar-SA"/>
        </w:rPr>
        <w:t xml:space="preserve">no Portal Nacional de Compras Públicas, pois atende os requisitos previstos no inciso II do Art. 75 da lei 14.133/21.</w:t>
      </w:r>
      <w:r>
        <w:rPr>
          <w:rFonts w:ascii="Times New Roman" w:hAnsi="Times New Roman" w:cs="Times New Roman"/>
        </w:rPr>
      </w:r>
      <w:r>
        <w:rPr>
          <w:rFonts w:ascii="Times New Roman" w:hAnsi="Times New Roman" w:cs="Times New Roman"/>
        </w:rPr>
      </w:r>
    </w:p>
    <w:p>
      <w:pPr>
        <w:pStyle w:val="1137"/>
        <w:widowControl w:val="false"/>
        <w:numPr>
          <w:ilvl w:val="0"/>
          <w:numId w:val="49"/>
        </w:numPr>
        <w:pBdr/>
        <w:tabs>
          <w:tab w:val="left" w:leader="none" w:pos="567"/>
        </w:tabs>
        <w:spacing w:line="360" w:lineRule="auto"/>
        <w:ind w:firstLine="0" w:left="0"/>
        <w:rPr>
          <w:rFonts w:ascii="Times New Roman" w:hAnsi="Times New Roman" w:cs="Times New Roman"/>
        </w:rPr>
      </w:pPr>
      <w:r>
        <w:rPr>
          <w:rFonts w:ascii="Times New Roman" w:hAnsi="Times New Roman" w:cs="Times New Roman"/>
        </w:rPr>
        <w:t xml:space="preserve">Publique-se.</w:t>
      </w:r>
      <w:r>
        <w:rPr>
          <w:rFonts w:ascii="Times New Roman" w:hAnsi="Times New Roman" w:cs="Times New Roman"/>
        </w:rPr>
      </w:r>
      <w:r>
        <w:rPr>
          <w:rFonts w:ascii="Times New Roman" w:hAnsi="Times New Roman" w:cs="Times New Roman"/>
        </w:rPr>
      </w:r>
    </w:p>
    <w:p>
      <w:pPr>
        <w:pStyle w:val="1137"/>
        <w:pBdr/>
        <w:tabs>
          <w:tab w:val="left" w:leader="none" w:pos="567"/>
        </w:tabs>
        <w:spacing w:line="360" w:lineRule="auto"/>
        <w:ind/>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Bdr/>
        <w:tabs>
          <w:tab w:val="left" w:leader="none" w:pos="1440"/>
        </w:tabs>
        <w:spacing w:after="120" w:before="120" w:line="276" w:lineRule="auto"/>
        <w:ind/>
        <w:jc w:val="both"/>
        <w:rPr>
          <w:rFonts w:ascii="Times New Roman" w:hAnsi="Times New Roman" w:cs="Times New Roman"/>
          <w:color w:val="000000"/>
        </w:rPr>
      </w:pPr>
      <w:r>
        <w:rPr>
          <w:rFonts w:ascii="Times New Roman" w:hAnsi="Times New Roman" w:cs="Times New Roman"/>
          <w:color w:val="000000"/>
        </w:rPr>
        <w:t xml:space="preserve">Paracambi-RJ, 0</w:t>
      </w:r>
      <w:r>
        <w:rPr>
          <w:rFonts w:ascii="Times New Roman" w:hAnsi="Times New Roman" w:cs="Times New Roman"/>
          <w:color w:val="000000"/>
        </w:rPr>
        <w:t xml:space="preserve">5</w:t>
      </w:r>
      <w:r>
        <w:rPr>
          <w:rFonts w:ascii="Times New Roman" w:hAnsi="Times New Roman" w:cs="Times New Roman"/>
          <w:color w:val="000000"/>
        </w:rPr>
        <w:t xml:space="preserve"> de junho</w:t>
      </w:r>
      <w:r>
        <w:rPr>
          <w:rFonts w:ascii="Times New Roman" w:hAnsi="Times New Roman" w:cs="Times New Roman"/>
          <w:color w:val="000000"/>
        </w:rPr>
        <w:t xml:space="preserve"> de 202</w:t>
      </w:r>
      <w:r>
        <w:rPr>
          <w:rFonts w:ascii="Times New Roman" w:hAnsi="Times New Roman" w:cs="Times New Roman"/>
          <w:color w:val="000000"/>
        </w:rPr>
        <w:t xml:space="preserve">4</w:t>
      </w:r>
      <w:r>
        <w:rPr>
          <w:rFonts w:ascii="Times New Roman" w:hAnsi="Times New Roman" w:cs="Times New Roman"/>
          <w:color w:val="000000"/>
        </w:rPr>
        <w:t xml:space="preserve">.</w:t>
      </w:r>
      <w:r>
        <w:rPr>
          <w:rFonts w:ascii="Times New Roman" w:hAnsi="Times New Roman" w:cs="Times New Roman"/>
          <w:color w:val="000000"/>
        </w:rPr>
      </w:r>
      <w:r>
        <w:rPr>
          <w:rFonts w:ascii="Times New Roman" w:hAnsi="Times New Roman" w:cs="Times New Roman"/>
          <w:color w:val="000000"/>
        </w:rPr>
      </w:r>
    </w:p>
    <w:p>
      <w:pPr>
        <w:pStyle w:val="1137"/>
        <w:pBdr/>
        <w:tabs>
          <w:tab w:val="left" w:leader="none" w:pos="369"/>
          <w:tab w:val="left" w:leader="none" w:pos="794"/>
        </w:tabs>
        <w:spacing w:line="360" w:lineRule="auto"/>
        <w:ind w:left="-57"/>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137"/>
        <w:pBdr/>
        <w:tabs>
          <w:tab w:val="left" w:leader="none" w:pos="369"/>
          <w:tab w:val="left" w:leader="none" w:pos="794"/>
        </w:tabs>
        <w:spacing w:line="360" w:lineRule="auto"/>
        <w:ind w:left="-57"/>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Bdr/>
        <w:spacing w:line="276" w:lineRule="auto"/>
        <w:ind/>
        <w:jc w:val="center"/>
        <w:rPr>
          <w:rFonts w:ascii="Times New Roman" w:hAnsi="Times New Roman" w:cs="Times New Roman"/>
          <w:b/>
          <w:bCs/>
          <w:iCs/>
          <w:color w:val="000000"/>
        </w:rPr>
      </w:pPr>
      <w:r>
        <w:rPr>
          <w:rFonts w:ascii="Times New Roman" w:hAnsi="Times New Roman" w:cs="Times New Roman"/>
          <w:b/>
          <w:bCs/>
          <w:iCs/>
          <w:color w:val="000000"/>
        </w:rPr>
        <w:t xml:space="preserve">ANDERSON MENDES DIAS – T </w:t>
      </w:r>
      <w:r>
        <w:rPr>
          <w:rFonts w:ascii="Times New Roman" w:hAnsi="Times New Roman" w:cs="Times New Roman"/>
          <w:b/>
          <w:bCs/>
          <w:iCs/>
          <w:color w:val="000000"/>
        </w:rPr>
        <w:t xml:space="preserve">Cel</w:t>
      </w:r>
      <w:r>
        <w:rPr>
          <w:rFonts w:ascii="Times New Roman" w:hAnsi="Times New Roman" w:cs="Times New Roman"/>
          <w:b/>
          <w:bCs/>
          <w:iCs/>
          <w:color w:val="000000"/>
        </w:rPr>
      </w:r>
      <w:r>
        <w:rPr>
          <w:rFonts w:ascii="Times New Roman" w:hAnsi="Times New Roman" w:cs="Times New Roman"/>
          <w:b/>
          <w:bCs/>
          <w:iCs/>
          <w:color w:val="000000"/>
        </w:rPr>
      </w:r>
    </w:p>
    <w:p>
      <w:pPr>
        <w:pBdr/>
        <w:spacing w:line="276" w:lineRule="auto"/>
        <w:ind/>
        <w:jc w:val="center"/>
        <w:rPr>
          <w:rFonts w:ascii="Times New Roman" w:hAnsi="Times New Roman" w:cs="Times New Roman"/>
        </w:rPr>
      </w:pPr>
      <w:r>
        <w:rPr>
          <w:rFonts w:ascii="Times New Roman" w:hAnsi="Times New Roman" w:cs="Times New Roman"/>
          <w:iCs/>
          <w:color w:val="000000"/>
        </w:rPr>
        <w:t xml:space="preserve">O</w:t>
      </w:r>
      <w:r>
        <w:rPr>
          <w:rFonts w:ascii="Times New Roman" w:hAnsi="Times New Roman" w:cs="Times New Roman"/>
          <w:bCs/>
          <w:iCs/>
          <w:color w:val="000000"/>
        </w:rPr>
        <w:t xml:space="preserve">rdenador de Despesas do D C </w:t>
      </w:r>
      <w:r>
        <w:rPr>
          <w:rFonts w:ascii="Times New Roman" w:hAnsi="Times New Roman" w:cs="Times New Roman"/>
          <w:bCs/>
          <w:iCs/>
          <w:color w:val="000000"/>
        </w:rPr>
        <w:t xml:space="preserve">Mun</w:t>
      </w:r>
      <w:r>
        <w:rPr>
          <w:rFonts w:ascii="Times New Roman" w:hAnsi="Times New Roman" w:cs="Times New Roman"/>
        </w:rPr>
      </w:r>
      <w:r>
        <w:rPr>
          <w:rFonts w:ascii="Times New Roman" w:hAnsi="Times New Roman" w:cs="Times New Roman"/>
        </w:rPr>
      </w:r>
    </w:p>
    <w:p>
      <w:pPr>
        <w:pStyle w:val="1094"/>
        <w:numPr>
          <w:ilvl w:val="0"/>
          <w:numId w:val="0"/>
        </w:num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Bdr/>
        <w:spacing w:after="288" w:before="120" w:line="312" w:lineRule="auto"/>
        <w:ind w:left="360"/>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sectPr>
      <w:headerReference w:type="default" r:id="rId9"/>
      <w:footerReference w:type="default" r:id="rId10"/>
      <w:footnotePr/>
      <w:endnotePr/>
      <w:type w:val="nextPage"/>
      <w:pgSz w:h="16838" w:orient="landscape" w:w="11906"/>
      <w:pgMar w:top="993" w:right="1134" w:bottom="1418" w:left="1134"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 w:type="continuationNotice" w:id="1">
    <w:p>
      <w:pPr>
        <w:pBdr/>
        <w:spacing/>
        <w:ind/>
        <w:rPr/>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ohit Hindi">
    <w:panose1 w:val="02000603000000000000"/>
  </w:font>
  <w:font w:name="3">
    <w:panose1 w:val="02000603000000000000"/>
  </w:font>
  <w:font w:name="Wingdings">
    <w:panose1 w:val="05000000000000000000"/>
  </w:font>
  <w:font w:name="Symbol">
    <w:panose1 w:val="05050102010706020507"/>
  </w:font>
  <w:font w:name="Rawline">
    <w:panose1 w:val="02000603000000000000"/>
  </w:font>
  <w:font w:name="Lucida Sans Unicode">
    <w:panose1 w:val="020B0602030504020204"/>
  </w:font>
  <w:font w:name="MS Mincho">
    <w:panose1 w:val="02020609040205080304"/>
  </w:font>
  <w:font w:name="Lucida Sans">
    <w:panose1 w:val="020B0602030504020204"/>
  </w:font>
  <w:font w:name="Liberation Serif">
    <w:panose1 w:val="02020603050405020304"/>
  </w:font>
  <w:font w:name="WenQuanYi Micro Hei">
    <w:panose1 w:val="02000603000000000000"/>
  </w:font>
  <w:font w:name="NSimSun">
    <w:panose1 w:val="02010609030101010101"/>
  </w:font>
  <w:font w:name="1">
    <w:panose1 w:val="02000603000000000000"/>
  </w:font>
  <w:font w:name="Calibri">
    <w:panose1 w:val="020F0502020204030204"/>
  </w:font>
  <w:font w:name="Tahoma">
    <w:panose1 w:val="020B0604030504040204"/>
  </w:font>
  <w:font w:name="Ecofont_Spranq_eco_Sans">
    <w:panose1 w:val="02000603000000000000"/>
  </w:font>
  <w:font w:name="Arial">
    <w:panose1 w:val="020B0604020202020204"/>
  </w:font>
  <w:font w:name="Courier New">
    <w:panose1 w:val="020703090202050204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016111550"/>
      <w:docPartObj>
        <w:docPartGallery w:val="Page Numbers (Bottom of Page)"/>
        <w:docPartUnique w:val="true"/>
      </w:docPartObj>
      <w:rPr/>
    </w:sdtPr>
    <w:sdtContent>
      <w:p>
        <w:pPr>
          <w:pStyle w:val="1060"/>
          <w:pBdr/>
          <w:spacing/>
          <w:ind/>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r>
          <w:rPr>
            <w:color w:val="548dd4" w:themeColor="text2" w:themeTint="99"/>
            <w:spacing w:val="60"/>
            <w:sz w:val="16"/>
            <w:szCs w:val="16"/>
          </w:rPr>
        </w:r>
        <w:r>
          <w:rPr>
            <w:color w:val="548dd4" w:themeColor="text2" w:themeTint="99"/>
            <w:spacing w:val="60"/>
            <w:sz w:val="16"/>
            <w:szCs w:val="16"/>
          </w:rPr>
        </w:r>
      </w:p>
      <w:p>
        <w:pPr>
          <w:pStyle w:val="1060"/>
          <w:pBdr/>
          <w:spacing/>
          <w:ind/>
          <w:rPr>
            <w:rFonts w:ascii="Arial" w:hAnsi="Arial" w:cs="Arial"/>
            <w:color w:val="7f7f7f" w:themeColor="text1" w:themeTint="80"/>
            <w:sz w:val="12"/>
          </w:rPr>
        </w:pPr>
        <w:r>
          <w:rPr>
            <w:color w:val="7f7f7f" w:themeColor="text1" w:themeTint="80"/>
            <w:spacing w:val="60"/>
            <w:sz w:val="22"/>
            <w:szCs w:val="22"/>
          </w:rPr>
          <w:tab/>
        </w:r>
        <w:r>
          <w:rPr>
            <w:color w:val="7f7f7f" w:themeColor="text1" w:themeTint="80"/>
            <w:spacing w:val="60"/>
            <w:sz w:val="22"/>
            <w:szCs w:val="22"/>
          </w:rPr>
          <w:tab/>
        </w:r>
        <w:r>
          <w:rPr>
            <w:color w:val="595959" w:themeColor="text1" w:themeTint="A6"/>
            <w:spacing w:val="60"/>
            <w:sz w:val="22"/>
            <w:szCs w:val="22"/>
          </w:rPr>
          <w:t xml:space="preserve">Página</w:t>
        </w:r>
        <w:r>
          <w:rPr>
            <w:color w:val="595959" w:themeColor="text1" w:themeTint="A6"/>
            <w:sz w:val="22"/>
            <w:szCs w:val="22"/>
          </w:rPr>
          <w:t xml:space="preserve"> </w:t>
        </w:r>
        <w:r>
          <w:rPr>
            <w:color w:val="595959" w:themeColor="text1" w:themeTint="A6"/>
            <w:sz w:val="22"/>
            <w:szCs w:val="22"/>
            <w:shd w:val="clear" w:color="auto" w:fill="e6e6e6"/>
          </w:rPr>
          <w:fldChar w:fldCharType="begin"/>
        </w:r>
        <w:r>
          <w:rPr>
            <w:color w:val="595959" w:themeColor="text1" w:themeTint="A6"/>
            <w:sz w:val="22"/>
            <w:szCs w:val="22"/>
          </w:rPr>
          <w:instrText xml:space="preserve">PAGE   \* MERGEFORMAT</w:instrText>
        </w:r>
        <w:r>
          <w:rPr>
            <w:color w:val="595959" w:themeColor="text1" w:themeTint="A6"/>
            <w:sz w:val="22"/>
            <w:szCs w:val="22"/>
            <w:shd w:val="clear" w:color="auto" w:fill="e6e6e6"/>
          </w:rPr>
          <w:fldChar w:fldCharType="separate"/>
        </w:r>
        <w:r>
          <w:rPr>
            <w:color w:val="595959" w:themeColor="text1" w:themeTint="A6"/>
            <w:sz w:val="22"/>
            <w:szCs w:val="22"/>
          </w:rPr>
          <w:t xml:space="preserve">12</w:t>
        </w:r>
        <w:r>
          <w:rPr>
            <w:color w:val="595959" w:themeColor="text1" w:themeTint="A6"/>
            <w:sz w:val="22"/>
            <w:szCs w:val="22"/>
            <w:shd w:val="clear" w:color="auto" w:fill="e6e6e6"/>
          </w:rPr>
          <w:fldChar w:fldCharType="end"/>
        </w:r>
        <w:r>
          <w:rPr>
            <w:color w:val="595959" w:themeColor="text1" w:themeTint="A6"/>
            <w:sz w:val="22"/>
            <w:szCs w:val="22"/>
          </w:rPr>
          <w:t xml:space="preserve"> | </w:t>
        </w:r>
        <w:r>
          <w:rPr>
            <w:color w:val="595959" w:themeColor="text1" w:themeTint="A6"/>
            <w:sz w:val="22"/>
            <w:szCs w:val="22"/>
            <w:shd w:val="clear" w:color="auto" w:fill="e6e6e6"/>
          </w:rPr>
          <w:fldChar w:fldCharType="begin"/>
        </w:r>
        <w:r>
          <w:rPr>
            <w:color w:val="595959" w:themeColor="text1" w:themeTint="A6"/>
            <w:sz w:val="22"/>
            <w:szCs w:val="22"/>
          </w:rPr>
          <w:instrText xml:space="preserve">NUMPAGES  \* Arabic  \* MERGEFORMAT</w:instrText>
        </w:r>
        <w:r>
          <w:rPr>
            <w:color w:val="595959" w:themeColor="text1" w:themeTint="A6"/>
            <w:sz w:val="22"/>
            <w:szCs w:val="22"/>
            <w:shd w:val="clear" w:color="auto" w:fill="e6e6e6"/>
          </w:rPr>
          <w:fldChar w:fldCharType="separate"/>
        </w:r>
        <w:r>
          <w:rPr>
            <w:color w:val="595959" w:themeColor="text1" w:themeTint="A6"/>
            <w:sz w:val="22"/>
            <w:szCs w:val="22"/>
          </w:rPr>
          <w:t xml:space="preserve">17</w:t>
        </w:r>
        <w:r>
          <w:rPr>
            <w:color w:val="595959" w:themeColor="text1" w:themeTint="A6"/>
            <w:sz w:val="22"/>
            <w:szCs w:val="22"/>
            <w:shd w:val="clear" w:color="auto" w:fill="e6e6e6"/>
          </w:rPr>
          <w:fldChar w:fldCharType="end"/>
        </w:r>
        <w:r>
          <w:rPr>
            <w:rFonts w:ascii="Arial" w:hAnsi="Arial" w:cs="Arial"/>
            <w:color w:val="7f7f7f" w:themeColor="text1" w:themeTint="80"/>
            <w:sz w:val="12"/>
          </w:rPr>
        </w:r>
        <w:r>
          <w:rPr>
            <w:rFonts w:ascii="Arial" w:hAnsi="Arial" w:cs="Arial"/>
            <w:color w:val="7f7f7f" w:themeColor="text1" w:themeTint="80"/>
            <w:sz w:val="12"/>
          </w:rPr>
        </w:r>
      </w:p>
      <w:p>
        <w:pPr>
          <w:pStyle w:val="1060"/>
          <w:pBdr/>
          <w:spacing/>
          <w:ind/>
          <w:rPr>
            <w:rFonts w:ascii="Rawline" w:hAnsi="Rawline" w:cs="Arial"/>
            <w:sz w:val="12"/>
          </w:rPr>
        </w:pPr>
        <w:r>
          <w:rPr>
            <w:rFonts w:ascii="Rawline" w:hAnsi="Rawline" w:cs="Arial"/>
            <w:sz w:val="12"/>
          </w:rPr>
          <w:t xml:space="preserve">Câmara Nacional de Modelos de Licitações e Contratos da Consultoria-Geral da União</w:t>
        </w:r>
        <w:r>
          <w:rPr>
            <w:rFonts w:ascii="Rawline" w:hAnsi="Rawline" w:cs="Arial"/>
            <w:sz w:val="12"/>
          </w:rPr>
        </w:r>
        <w:r>
          <w:rPr>
            <w:rFonts w:ascii="Rawline" w:hAnsi="Rawline" w:cs="Arial"/>
            <w:sz w:val="12"/>
          </w:rPr>
        </w:r>
      </w:p>
      <w:p>
        <w:pPr>
          <w:pStyle w:val="1060"/>
          <w:pBdr/>
          <w:spacing/>
          <w:ind/>
          <w:rPr>
            <w:rFonts w:ascii="Rawline" w:hAnsi="Rawline" w:cs="Arial"/>
            <w:sz w:val="12"/>
          </w:rPr>
        </w:pPr>
        <w:r>
          <w:rPr>
            <w:rFonts w:ascii="Rawline" w:hAnsi="Rawline" w:cs="Arial"/>
            <w:sz w:val="12"/>
          </w:rPr>
          <w:t xml:space="preserve">Atualização: </w:t>
        </w:r>
        <w:r>
          <w:rPr>
            <w:rFonts w:ascii="Rawline" w:hAnsi="Rawline" w:cs="Arial"/>
            <w:sz w:val="12"/>
          </w:rPr>
          <w:t xml:space="preserve">Dezembro</w:t>
        </w:r>
        <w:r>
          <w:rPr>
            <w:rFonts w:ascii="Rawline" w:hAnsi="Rawline" w:cs="Arial"/>
            <w:sz w:val="12"/>
          </w:rPr>
          <w:t xml:space="preserve">/</w:t>
        </w:r>
        <w:r>
          <w:rPr>
            <w:rFonts w:ascii="Rawline" w:hAnsi="Rawline" w:cs="Arial"/>
            <w:sz w:val="12"/>
          </w:rPr>
          <w:t xml:space="preserve">2023</w:t>
        </w:r>
        <w:r>
          <w:rPr>
            <w:rFonts w:ascii="Rawline" w:hAnsi="Rawline" w:cs="Arial"/>
            <w:sz w:val="12"/>
          </w:rPr>
        </w:r>
        <w:r>
          <w:rPr>
            <w:rFonts w:ascii="Rawline" w:hAnsi="Rawline" w:cs="Arial"/>
            <w:sz w:val="12"/>
          </w:rPr>
        </w:r>
      </w:p>
      <w:p>
        <w:pPr>
          <w:pStyle w:val="1060"/>
          <w:pBdr/>
          <w:spacing/>
          <w:ind/>
          <w:rPr>
            <w:rFonts w:ascii="Rawline" w:hAnsi="Rawline"/>
            <w:color w:val="0f243e" w:themeColor="text2" w:themeShade="80"/>
            <w:sz w:val="22"/>
            <w:szCs w:val="22"/>
          </w:rPr>
        </w:pPr>
        <w:r>
          <w:rPr>
            <w:rFonts w:ascii="Rawline" w:hAnsi="Rawline" w:cs="Arial"/>
            <w:sz w:val="12"/>
            <w:szCs w:val="12"/>
          </w:rPr>
          <w:t xml:space="preserve">Termo de Referência Aquisições – </w:t>
        </w:r>
        <w:r>
          <w:rPr>
            <w:rFonts w:ascii="Rawline" w:hAnsi="Rawline" w:cs="Arial"/>
            <w:sz w:val="12"/>
            <w:szCs w:val="12"/>
          </w:rPr>
          <w:t xml:space="preserve">Contratação Direta</w:t>
        </w:r>
        <w:r>
          <w:rPr>
            <w:rFonts w:ascii="Rawline" w:hAnsi="Rawline" w:cs="Arial"/>
            <w:sz w:val="12"/>
            <w:szCs w:val="12"/>
          </w:rPr>
          <w:tab/>
        </w:r>
        <w:r>
          <w:rPr>
            <w:rFonts w:ascii="Rawline" w:hAnsi="Rawline" w:cs="Arial"/>
            <w:sz w:val="12"/>
            <w:szCs w:val="12"/>
          </w:rPr>
          <w:tab/>
        </w:r>
        <w:r>
          <w:rPr>
            <w:rFonts w:ascii="Rawline" w:hAnsi="Rawline"/>
            <w:color w:val="0f243e" w:themeColor="text2" w:themeShade="80"/>
            <w:sz w:val="22"/>
            <w:szCs w:val="22"/>
          </w:rPr>
        </w:r>
        <w:r>
          <w:rPr>
            <w:rFonts w:ascii="Rawline" w:hAnsi="Rawline"/>
            <w:color w:val="0f243e" w:themeColor="text2" w:themeShade="80"/>
            <w:sz w:val="22"/>
            <w:szCs w:val="22"/>
          </w:rPr>
        </w:r>
      </w:p>
      <w:p>
        <w:pPr>
          <w:pStyle w:val="1060"/>
          <w:pBdr/>
          <w:spacing/>
          <w:ind/>
          <w:rPr>
            <w:rFonts w:ascii="Rawline" w:hAnsi="Rawline"/>
            <w:sz w:val="12"/>
            <w:szCs w:val="12"/>
          </w:rPr>
        </w:pPr>
        <w:r>
          <w:rPr>
            <w:rFonts w:ascii="Rawline" w:hAnsi="Rawline"/>
            <w:sz w:val="12"/>
            <w:szCs w:val="12"/>
          </w:rPr>
          <w:t xml:space="preserve">Aprovado pela Secretaria de Gestão.</w:t>
        </w:r>
        <w:r>
          <w:rPr>
            <w:rFonts w:ascii="Rawline" w:hAnsi="Rawline"/>
            <w:sz w:val="12"/>
            <w:szCs w:val="12"/>
          </w:rPr>
        </w:r>
        <w:r>
          <w:rPr>
            <w:rFonts w:ascii="Rawline" w:hAnsi="Rawline"/>
            <w:sz w:val="12"/>
            <w:szCs w:val="12"/>
          </w:rPr>
        </w:r>
      </w:p>
      <w:p>
        <w:pPr>
          <w:pStyle w:val="1060"/>
          <w:pBdr/>
          <w:spacing/>
          <w:ind/>
          <w:rPr>
            <w:rFonts w:ascii="Rawline" w:hAnsi="Rawline"/>
          </w:rPr>
        </w:pPr>
        <w:r>
          <w:rPr>
            <w:rFonts w:ascii="Rawline" w:hAnsi="Rawline"/>
            <w:sz w:val="12"/>
            <w:szCs w:val="12"/>
          </w:rPr>
          <w:t xml:space="preserve">Identidade visual pela Secretaria de Gestão</w:t>
        </w:r>
        <w:r>
          <w:rPr>
            <w:rFonts w:ascii="Rawline" w:hAnsi="Rawline"/>
          </w:rPr>
        </w:r>
        <w:r>
          <w:rPr>
            <w:rFonts w:ascii="Rawline" w:hAnsi="Rawline"/>
          </w:rPr>
        </w:r>
      </w:p>
    </w:sdtContent>
  </w:sdt>
  <w:p>
    <w:pPr>
      <w:pStyle w:val="1060"/>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type="continuationNotice" w:id="1">
    <w:p>
      <w:pPr>
        <w:pBdr/>
        <w:spacing/>
        <w:ind/>
        <w:rPr/>
      </w:p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8"/>
      <w:pBdr/>
      <w:spacing/>
      <w:ind/>
      <w:jc w:val="right"/>
      <w:rPr>
        <w:rFonts w:ascii="Arial" w:hAnsi="Arial" w:cs="Arial"/>
        <w:sz w:val="18"/>
        <w:szCs w:val="18"/>
      </w:rPr>
    </w:pPr>
    <w:r>
      <w:rPr>
        <w:rFonts w:ascii="Arial" w:hAnsi="Arial" w:cs="Arial"/>
        <w:sz w:val="18"/>
        <w:szCs w:val="18"/>
      </w:rPr>
      <w:t xml:space="preserve">TERMO DE REFERÊNCIA - AQUISIÇÕES </w:t>
    </w:r>
    <w:r>
      <w:rPr>
        <w:rFonts w:ascii="Arial" w:hAnsi="Arial" w:cs="Arial"/>
        <w:sz w:val="18"/>
        <w:szCs w:val="18"/>
      </w:rPr>
      <w:t xml:space="preserve">–</w:t>
    </w:r>
    <w:r>
      <w:rPr>
        <w:rFonts w:ascii="Arial" w:hAnsi="Arial" w:cs="Arial"/>
        <w:sz w:val="18"/>
        <w:szCs w:val="18"/>
      </w:rPr>
      <w:t xml:space="preserve"> </w:t>
    </w:r>
    <w:r>
      <w:rPr>
        <w:rFonts w:ascii="Arial" w:hAnsi="Arial" w:cs="Arial"/>
        <w:color w:val="000000" w:themeColor="text1"/>
        <w:sz w:val="18"/>
        <w:szCs w:val="18"/>
      </w:rPr>
      <w:t xml:space="preserve">CONTRATAÇÃO DIRETA</w:t>
    </w:r>
    <w:r>
      <w:rPr>
        <w:rFonts w:ascii="Arial" w:hAnsi="Arial" w:cs="Arial"/>
        <w:color w:val="000000" w:themeColor="text1"/>
        <w:sz w:val="18"/>
        <w:szCs w:val="18"/>
      </w:rPr>
      <w:t xml:space="preserve"> 90004/2024</w:t>
    </w:r>
    <w:r>
      <w:rPr>
        <w:rFonts w:ascii="Arial" w:hAnsi="Arial" w:cs="Arial"/>
        <w:sz w:val="18"/>
        <w:szCs w:val="18"/>
      </w:rPr>
    </w:r>
    <w:r>
      <w:rPr>
        <w:rFonts w:ascii="Arial" w:hAnsi="Arial" w:cs="Arial"/>
        <w:sz w:val="18"/>
        <w:szCs w:val="18"/>
      </w:rPr>
    </w:r>
  </w:p>
  <w:p>
    <w:pPr>
      <w:pStyle w:val="1058"/>
      <w:pBdr/>
      <w:spacing/>
      <w:ind/>
      <w:jc w:val="right"/>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tabs>
          <w:tab w:val="num" w:leader="none" w:pos="1492"/>
        </w:tabs>
        <w:spacing/>
        <w:ind w:hanging="360" w:left="1492"/>
      </w:pPr>
      <w:pStyle w:val="1055"/>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3."/>
      <w:numFmt w:val="decimal"/>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1.%2."/>
      <w:numFmt w:val="decimal"/>
      <w:pPr>
        <w:pBdr/>
        <w:spacing/>
        <w:ind w:hanging="504" w:left="1213"/>
      </w:pPr>
      <w:rPr>
        <w:rFonts w:hint="default" w:ascii="Calibri" w:hAnsi="Calibri"/>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lvl w:ilvl="0">
      <w:isLgl w:val="false"/>
      <w:lvlJc w:val="left"/>
      <w:lvlText w:val="%1."/>
      <w:numFmt w:val="decimal"/>
      <w:pPr>
        <w:pBdr/>
        <w:spacing/>
        <w:ind w:hanging="360" w:left="360"/>
      </w:pPr>
      <w:pStyle w:val="1074"/>
      <w:rPr>
        <w:b/>
      </w:rPr>
      <w:start w:val="1"/>
      <w:suff w:val="tab"/>
    </w:lvl>
    <w:lvl w:ilvl="1">
      <w:isLgl w:val="false"/>
      <w:lvlJc w:val="left"/>
      <w:lvlText w:val="%1.%2."/>
      <w:numFmt w:val="decimal"/>
      <w:pPr>
        <w:pBdr/>
        <w:spacing/>
        <w:ind w:hanging="432" w:left="999"/>
      </w:pPr>
      <w:pStyle w:val="1094"/>
      <w:rPr>
        <w:b w:val="0"/>
        <w:i w:val="0"/>
        <w:strike w:val="0"/>
        <w:color w:val="auto"/>
        <w:sz w:val="24"/>
        <w:szCs w:val="24"/>
        <w:u w:val="none"/>
      </w:rPr>
      <w:start w:val="1"/>
      <w:suff w:val="tab"/>
    </w:lvl>
    <w:lvl w:ilvl="2">
      <w:isLgl w:val="false"/>
      <w:lvlJc w:val="left"/>
      <w:lvlText w:val="%1.%2.%3."/>
      <w:numFmt w:val="decimal"/>
      <w:pPr>
        <w:pBdr/>
        <w:spacing/>
        <w:ind w:hanging="504" w:left="1781"/>
      </w:pPr>
      <w:pStyle w:val="1096"/>
      <w:rPr>
        <w:b w:val="0"/>
        <w:i w:val="0"/>
        <w:strike w:val="0"/>
        <w:color w:val="auto"/>
        <w:sz w:val="20"/>
        <w:szCs w:val="20"/>
      </w:rPr>
      <w:start w:val="1"/>
      <w:suff w:val="tab"/>
    </w:lvl>
    <w:lvl w:ilvl="3">
      <w:isLgl w:val="false"/>
      <w:lvlJc w:val="left"/>
      <w:lvlText w:val="%1.%2.%3.%4."/>
      <w:numFmt w:val="decimal"/>
      <w:pPr>
        <w:pBdr/>
        <w:spacing/>
        <w:ind w:hanging="648" w:left="2491"/>
      </w:pPr>
      <w:pStyle w:val="1097"/>
      <w:rPr/>
      <w:start w:val="1"/>
      <w:suff w:val="tab"/>
    </w:lvl>
    <w:lvl w:ilvl="4">
      <w:isLgl w:val="false"/>
      <w:lvlJc w:val="left"/>
      <w:lvlText w:val="%1.%2.%3.%4.%5."/>
      <w:numFmt w:val="decimal"/>
      <w:pPr>
        <w:pBdr/>
        <w:spacing/>
        <w:ind w:hanging="792" w:left="2232"/>
      </w:pPr>
      <w:pStyle w:val="1098"/>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7">
    <w:lvl w:ilvl="0">
      <w:isLgl w:val="false"/>
      <w:lvlJc w:val="left"/>
      <w:lvlText w:val="%1."/>
      <w:numFmt w:val="decimal"/>
      <w:pPr>
        <w:pBdr/>
        <w:spacing/>
        <w:ind w:hanging="360" w:left="720"/>
      </w:pPr>
      <w:rPr/>
      <w:start w:val="1"/>
      <w:suff w:val="tab"/>
    </w:lvl>
    <w:lvl w:ilvl="1">
      <w:isLgl w:val="false"/>
      <w:lvlJc w:val="left"/>
      <w:lvlText w:val="%1.%2."/>
      <w:numFmt w:val="decimal"/>
      <w:pPr>
        <w:pBdr/>
        <w:spacing/>
        <w:ind w:hanging="432" w:left="999"/>
      </w:pPr>
      <w:rPr>
        <w:rFonts w:hint="default" w:ascii="Calibri" w:hAnsi="Calibri"/>
      </w:rPr>
      <w:start w:val="4"/>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8">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9">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lvl w:ilvl="0">
      <w:isLgl w:val="false"/>
      <w:lvlJc w:val="left"/>
      <w:lvlText w:val="%1."/>
      <w:numFmt w:val="decimal"/>
      <w:pPr>
        <w:pBdr/>
        <w:spacing/>
        <w:ind w:hanging="360" w:left="720"/>
      </w:pPr>
      <w:rPr/>
      <w:start w:val="1"/>
      <w:suff w:val="tab"/>
    </w:lvl>
    <w:lvl w:ilvl="1">
      <w:isLgl w:val="false"/>
      <w:lvlJc w:val="left"/>
      <w:lvlText w:val="%1.%2."/>
      <w:numFmt w:val="decimal"/>
      <w:pPr>
        <w:pBdr/>
        <w:spacing/>
        <w:ind w:hanging="360" w:left="1440"/>
      </w:pPr>
      <w:rPr/>
      <w:start w:val="4"/>
      <w:suff w:val="tab"/>
    </w:lvl>
    <w:lvl w:ilvl="2">
      <w:isLgl w:val="false"/>
      <w:lvlJc w:val="left"/>
      <w:lvlText w:val="%1.%2.%3."/>
      <w:numFmt w:val="decimal"/>
      <w:pPr>
        <w:pBdr/>
        <w:spacing/>
        <w:ind w:hanging="180" w:left="2160"/>
      </w:pPr>
      <w:rPr/>
      <w:start w:val="1"/>
      <w:suff w:val="tab"/>
    </w:lvl>
    <w:lvl w:ilvl="3">
      <w:isLgl w:val="false"/>
      <w:lvlJc w:val="left"/>
      <w:lvlText w:val="%1.%2.%3.%4."/>
      <w:numFmt w:val="decimal"/>
      <w:pPr>
        <w:pBdr/>
        <w:spacing/>
        <w:ind w:hanging="360" w:left="2880"/>
      </w:pPr>
      <w:rPr/>
      <w:start w:val="1"/>
      <w:suff w:val="tab"/>
    </w:lvl>
    <w:lvl w:ilvl="4">
      <w:isLgl w:val="false"/>
      <w:lvlJc w:val="left"/>
      <w:lvlText w:val="%1.%2.%3.%4.%5."/>
      <w:numFmt w:val="decimal"/>
      <w:pPr>
        <w:pBdr/>
        <w:spacing/>
        <w:ind w:hanging="360" w:left="3600"/>
      </w:pPr>
      <w:rPr/>
      <w:start w:val="1"/>
      <w:suff w:val="tab"/>
    </w:lvl>
    <w:lvl w:ilvl="5">
      <w:isLgl w:val="false"/>
      <w:lvlJc w:val="left"/>
      <w:lvlText w:val="%1.%2.%3.%4.%5.%6."/>
      <w:numFmt w:val="decimal"/>
      <w:pPr>
        <w:pBdr/>
        <w:spacing/>
        <w:ind w:hanging="180" w:left="4320"/>
      </w:pPr>
      <w:rPr/>
      <w:start w:val="1"/>
      <w:suff w:val="tab"/>
    </w:lvl>
    <w:lvl w:ilvl="6">
      <w:isLgl w:val="false"/>
      <w:lvlJc w:val="left"/>
      <w:lvlText w:val="%1.%2.%3.%4.%5.%6.%7."/>
      <w:numFmt w:val="decimal"/>
      <w:pPr>
        <w:pBdr/>
        <w:spacing/>
        <w:ind w:hanging="360" w:left="5040"/>
      </w:pPr>
      <w:rPr/>
      <w:start w:val="1"/>
      <w:suff w:val="tab"/>
    </w:lvl>
    <w:lvl w:ilvl="7">
      <w:isLgl w:val="false"/>
      <w:lvlJc w:val="left"/>
      <w:lvlText w:val="%1.%2.%3.%4.%5.%6.%7.%8."/>
      <w:numFmt w:val="decimal"/>
      <w:pPr>
        <w:pBdr/>
        <w:spacing/>
        <w:ind w:hanging="360" w:left="5760"/>
      </w:pPr>
      <w:rPr/>
      <w:start w:val="1"/>
      <w:suff w:val="tab"/>
    </w:lvl>
    <w:lvl w:ilvl="8">
      <w:isLgl w:val="false"/>
      <w:lvlJc w:val="left"/>
      <w:lvlText w:val="%1.%2.%3.%4.%5.%6.%7.%8.%9."/>
      <w:numFmt w:val="decimal"/>
      <w:pPr>
        <w:pBdr/>
        <w:spacing/>
        <w:ind w:hanging="180" w:left="6480"/>
      </w:pPr>
      <w:rPr/>
      <w:start w:val="1"/>
      <w:suff w:val="tab"/>
    </w:lvl>
  </w:abstractNum>
  <w:abstractNum w:abstractNumId="11">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3."/>
      <w:numFmt w:val="decimal"/>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3">
    <w:styleLink w:val="1065"/>
    <w:lvl w:ilvl="0">
      <w:isLgl w:val="false"/>
      <w:lvlJc w:val="left"/>
      <w:lvlText w:val="%1)"/>
      <w:numFmt w:val="decimal"/>
      <w:pPr>
        <w:pBdr/>
        <w:spacing/>
        <w:ind w:hanging="360" w:left="360"/>
      </w:pPr>
      <w:pStyle w:val="1065"/>
      <w:rPr>
        <w:rFonts w:ascii="1" w:hAnsi="1"/>
      </w:rPr>
      <w:start w:val="0"/>
      <w:suff w:val="tab"/>
    </w:lvl>
    <w:lvl w:ilvl="1">
      <w:isLgl w:val="false"/>
      <w:lvlJc w:val="left"/>
      <w:lvlText w:val="%2)"/>
      <w:numFmt w:val="lowerLetter"/>
      <w:pPr>
        <w:pBdr/>
        <w:spacing/>
        <w:ind w:hanging="360" w:left="720"/>
      </w:pPr>
      <w:rPr/>
      <w:start w:val="1"/>
      <w:suff w:val="tab"/>
    </w:lvl>
    <w:lvl w:ilvl="2">
      <w:isLgl w:val="false"/>
      <w:lvlJc w:val="left"/>
      <w:lvlText w:val="%3)"/>
      <w:numFmt w:val="lowerRoman"/>
      <w:pPr>
        <w:pBdr/>
        <w:spacing/>
        <w:ind w:hanging="360" w:left="1080"/>
      </w:pPr>
      <w:rPr/>
      <w:start w:val="1"/>
      <w:suff w:val="tab"/>
    </w:lvl>
    <w:lvl w:ilvl="3">
      <w:isLgl w:val="false"/>
      <w:lvlJc w:val="left"/>
      <w:lvlText w:val="(%4)"/>
      <w:numFmt w:val="decimal"/>
      <w:pPr>
        <w:pBdr/>
        <w:spacing/>
        <w:ind w:hanging="360" w:left="1440"/>
      </w:pPr>
      <w:rPr/>
      <w:start w:val="1"/>
      <w:suff w:val="tab"/>
    </w:lvl>
    <w:lvl w:ilvl="4">
      <w:isLgl w:val="false"/>
      <w:lvlJc w:val="left"/>
      <w:lvlText w:val="(%5)"/>
      <w:numFmt w:val="lowerLetter"/>
      <w:pPr>
        <w:pBdr/>
        <w:spacing/>
        <w:ind w:hanging="360" w:left="1800"/>
      </w:pPr>
      <w:rPr/>
      <w:start w:val="1"/>
      <w:suff w:val="tab"/>
    </w:lvl>
    <w:lvl w:ilvl="5">
      <w:isLgl w:val="false"/>
      <w:lvlJc w:val="left"/>
      <w:lvlText w:val="(%6)"/>
      <w:numFmt w:val="lowerRoman"/>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lowerLetter"/>
      <w:pPr>
        <w:pBdr/>
        <w:spacing/>
        <w:ind w:hanging="360" w:left="2880"/>
      </w:pPr>
      <w:rPr/>
      <w:start w:val="1"/>
      <w:suff w:val="tab"/>
    </w:lvl>
    <w:lvl w:ilvl="8">
      <w:isLgl w:val="false"/>
      <w:lvlJc w:val="left"/>
      <w:lvlText w:val="%9."/>
      <w:numFmt w:val="lowerRoman"/>
      <w:pPr>
        <w:pBdr/>
        <w:spacing/>
        <w:ind w:hanging="360" w:left="3240"/>
      </w:pPr>
      <w:rPr/>
      <w:start w:val="1"/>
      <w:suff w:val="tab"/>
    </w:lvl>
  </w:abstractNum>
  <w:abstractNum w:abstractNumId="14">
    <w:lvl w:ilvl="0">
      <w:isLgl w:val="false"/>
      <w:lvlJc w:val="left"/>
      <w:lvlText w:val="%1."/>
      <w:numFmt w:val="decimal"/>
      <w:pPr>
        <w:pBdr/>
        <w:spacing/>
        <w:ind w:hanging="360" w:left="720"/>
      </w:pPr>
      <w:rPr/>
      <w:start w:val="1"/>
      <w:suff w:val="tab"/>
    </w:lvl>
    <w:lvl w:ilvl="1">
      <w:isLgl w:val="false"/>
      <w:lvlJc w:val="left"/>
      <w:lvlText w:val="%1.%2."/>
      <w:numFmt w:val="decimal"/>
      <w:pPr>
        <w:pBdr/>
        <w:spacing/>
        <w:ind w:hanging="432" w:left="999"/>
      </w:pPr>
      <w:rPr>
        <w:rFonts w:hint="default" w:ascii="Calibri" w:hAnsi="Calibri"/>
      </w:rPr>
      <w:start w:val="3"/>
      <w:suff w:val="tab"/>
    </w:lvl>
    <w:lvl w:ilvl="2">
      <w:isLgl w:val="false"/>
      <w:lvlJc w:val="left"/>
      <w:lvlText w:val="%1.%2."/>
      <w:numFmt w:val="decimal"/>
      <w:pPr>
        <w:pBdr/>
        <w:spacing/>
        <w:ind w:hanging="504" w:left="1213"/>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5">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3."/>
      <w:numFmt w:val="decimal"/>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7">
    <w:styleLink w:val="1064"/>
    <w:lvl w:ilvl="0">
      <w:isLgl w:val="false"/>
      <w:lvlJc w:val="left"/>
      <w:lvlText w:val="8.%1"/>
      <w:numFmt w:val="decimal"/>
      <w:pPr>
        <w:pBdr/>
        <w:spacing/>
        <w:ind w:hanging="555" w:left="555"/>
      </w:pPr>
      <w:pStyle w:val="1064"/>
      <w:rPr>
        <w:rFonts w:hint="default"/>
      </w:rPr>
      <w:start w:val="6"/>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8">
    <w:lvl w:ilvl="0">
      <w:isLgl w:val="false"/>
      <w:lvlJc w:val="left"/>
      <w:lvlText w:val="o"/>
      <w:numFmt w:val="bullet"/>
      <w:pPr>
        <w:pBdr/>
        <w:spacing/>
        <w:ind w:hanging="360" w:left="720"/>
      </w:pPr>
      <w:pStyle w:val="1159"/>
      <w:rPr>
        <w:rFonts w:hint="default" w:ascii="Courier New" w:hAnsi="Courier New"/>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pStyle w:val="1159"/>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9">
    <w:lvl w:ilvl="0">
      <w:isLgl w:val="false"/>
      <w:lvlJc w:val="left"/>
      <w:lvlText w:val="%1)"/>
      <w:numFmt w:val="upperRoman"/>
      <w:pPr>
        <w:pBdr/>
        <w:spacing/>
        <w:ind w:hanging="720" w:left="1287"/>
      </w:pPr>
      <w:rPr>
        <w:rFonts w:hint="default"/>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20">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3."/>
      <w:numFmt w:val="decimal"/>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1">
    <w:lvl w:ilvl="0">
      <w:isLgl w:val="false"/>
      <w:lvlJc w:val="left"/>
      <w:lvlText w:val="%1)"/>
      <w:numFmt w:val="upperRoman"/>
      <w:pPr>
        <w:pBdr/>
        <w:spacing/>
        <w:ind w:hanging="720" w:left="2136"/>
      </w:pPr>
      <w:rPr>
        <w:rFonts w:hint="default"/>
      </w:rPr>
      <w:start w:val="1"/>
      <w:suff w:val="tab"/>
    </w:lvl>
    <w:lvl w:ilvl="1">
      <w:isLgl w:val="false"/>
      <w:lvlJc w:val="left"/>
      <w:lvlText w:val="%2."/>
      <w:numFmt w:val="lowerLetter"/>
      <w:pPr>
        <w:pBdr/>
        <w:spacing/>
        <w:ind w:hanging="360" w:left="2496"/>
      </w:pPr>
      <w:rPr/>
      <w:start w:val="1"/>
      <w:suff w:val="tab"/>
    </w:lvl>
    <w:lvl w:ilvl="2">
      <w:isLgl w:val="false"/>
      <w:lvlJc w:val="right"/>
      <w:lvlText w:val="%3."/>
      <w:numFmt w:val="lowerRoman"/>
      <w:pPr>
        <w:pBdr/>
        <w:spacing/>
        <w:ind w:hanging="180" w:left="3216"/>
      </w:pPr>
      <w:rPr/>
      <w:start w:val="1"/>
      <w:suff w:val="tab"/>
    </w:lvl>
    <w:lvl w:ilvl="3">
      <w:isLgl w:val="false"/>
      <w:lvlJc w:val="left"/>
      <w:lvlText w:val="%4."/>
      <w:numFmt w:val="decimal"/>
      <w:pPr>
        <w:pBdr/>
        <w:spacing/>
        <w:ind w:hanging="360" w:left="3936"/>
      </w:pPr>
      <w:rPr/>
      <w:start w:val="1"/>
      <w:suff w:val="tab"/>
    </w:lvl>
    <w:lvl w:ilvl="4">
      <w:isLgl w:val="false"/>
      <w:lvlJc w:val="left"/>
      <w:lvlText w:val="%5."/>
      <w:numFmt w:val="lowerLetter"/>
      <w:pPr>
        <w:pBdr/>
        <w:spacing/>
        <w:ind w:hanging="360" w:left="4656"/>
      </w:pPr>
      <w:rPr/>
      <w:start w:val="1"/>
      <w:suff w:val="tab"/>
    </w:lvl>
    <w:lvl w:ilvl="5">
      <w:isLgl w:val="false"/>
      <w:lvlJc w:val="right"/>
      <w:lvlText w:val="%6."/>
      <w:numFmt w:val="lowerRoman"/>
      <w:pPr>
        <w:pBdr/>
        <w:spacing/>
        <w:ind w:hanging="180" w:left="5376"/>
      </w:pPr>
      <w:rPr/>
      <w:start w:val="1"/>
      <w:suff w:val="tab"/>
    </w:lvl>
    <w:lvl w:ilvl="6">
      <w:isLgl w:val="false"/>
      <w:lvlJc w:val="left"/>
      <w:lvlText w:val="%7."/>
      <w:numFmt w:val="decimal"/>
      <w:pPr>
        <w:pBdr/>
        <w:spacing/>
        <w:ind w:hanging="360" w:left="6096"/>
      </w:pPr>
      <w:rPr/>
      <w:start w:val="1"/>
      <w:suff w:val="tab"/>
    </w:lvl>
    <w:lvl w:ilvl="7">
      <w:isLgl w:val="false"/>
      <w:lvlJc w:val="left"/>
      <w:lvlText w:val="%8."/>
      <w:numFmt w:val="lowerLetter"/>
      <w:pPr>
        <w:pBdr/>
        <w:spacing/>
        <w:ind w:hanging="360" w:left="6816"/>
      </w:pPr>
      <w:rPr/>
      <w:start w:val="1"/>
      <w:suff w:val="tab"/>
    </w:lvl>
    <w:lvl w:ilvl="8">
      <w:isLgl w:val="false"/>
      <w:lvlJc w:val="right"/>
      <w:lvlText w:val="%9."/>
      <w:numFmt w:val="lowerRoman"/>
      <w:pPr>
        <w:pBdr/>
        <w:spacing/>
        <w:ind w:hanging="180" w:left="7536"/>
      </w:pPr>
      <w:rPr/>
      <w:start w:val="1"/>
      <w:suff w:val="tab"/>
    </w:lvl>
  </w:abstractNum>
  <w:abstractNum w:abstractNumId="22">
    <w:styleLink w:val="1066"/>
    <w:lvl w:ilvl="0">
      <w:isLgl w:val="false"/>
      <w:lvlJc w:val="left"/>
      <w:lvlText w:val="%1)"/>
      <w:numFmt w:val="decimal"/>
      <w:pPr>
        <w:pBdr/>
        <w:spacing/>
        <w:ind w:hanging="360" w:left="360"/>
      </w:pPr>
      <w:pStyle w:val="1066"/>
      <w:rPr>
        <w:rFonts w:hint="default" w:ascii="3" w:hAnsi="3"/>
        <w:b w:val="0"/>
      </w:rPr>
      <w:start w:val="3"/>
      <w:suff w:val="tab"/>
    </w:lvl>
    <w:lvl w:ilvl="1">
      <w:isLgl w:val="false"/>
      <w:lvlJc w:val="left"/>
      <w:lvlText w:val="%2)"/>
      <w:numFmt w:val="lowerLetter"/>
      <w:pPr>
        <w:pBdr/>
        <w:spacing/>
        <w:ind w:hanging="360" w:left="720"/>
      </w:pPr>
      <w:rPr>
        <w:rFonts w:hint="default"/>
      </w:rPr>
      <w:start w:val="1"/>
      <w:suff w:val="tab"/>
    </w:lvl>
    <w:lvl w:ilvl="2">
      <w:isLgl w:val="false"/>
      <w:lvlJc w:val="left"/>
      <w:lvlText w:val="%3)"/>
      <w:numFmt w:val="lowerRoman"/>
      <w:pPr>
        <w:pBdr/>
        <w:spacing/>
        <w:ind w:hanging="360" w:left="1080"/>
      </w:pPr>
      <w:rPr>
        <w:rFonts w:hint="default"/>
      </w:rPr>
      <w:start w:val="1"/>
      <w:suff w:val="tab"/>
    </w:lvl>
    <w:lvl w:ilvl="3">
      <w:isLgl w:val="false"/>
      <w:lvlJc w:val="left"/>
      <w:lvlText w:val="(%4)"/>
      <w:numFmt w:val="decimal"/>
      <w:pPr>
        <w:pBdr/>
        <w:spacing/>
        <w:ind w:hanging="360" w:left="1440"/>
      </w:pPr>
      <w:rPr>
        <w:rFonts w:hint="default"/>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3">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4">
    <w:lvl w:ilvl="0">
      <w:isLgl w:val="false"/>
      <w:lvlJc w:val="left"/>
      <w:lvlText w:val="%1."/>
      <w:numFmt w:val="decimal"/>
      <w:pPr>
        <w:pBdr/>
        <w:spacing/>
        <w:ind w:hanging="360" w:left="720"/>
      </w:pPr>
      <w:rPr/>
      <w:start w:val="1"/>
      <w:suff w:val="tab"/>
    </w:lvl>
    <w:lvl w:ilvl="1">
      <w:isLgl w:val="false"/>
      <w:lvlJc w:val="left"/>
      <w:lvlText w:val="%1.%2."/>
      <w:numFmt w:val="decimal"/>
      <w:pPr>
        <w:pBdr/>
        <w:spacing/>
        <w:ind w:hanging="360" w:left="1440"/>
      </w:pPr>
      <w:rPr/>
      <w:start w:val="4"/>
      <w:suff w:val="tab"/>
    </w:lvl>
    <w:lvl w:ilvl="2">
      <w:isLgl w:val="false"/>
      <w:lvlJc w:val="left"/>
      <w:lvlText w:val="%1.%2.%3."/>
      <w:numFmt w:val="decimal"/>
      <w:pPr>
        <w:pBdr/>
        <w:spacing/>
        <w:ind w:hanging="180" w:left="2160"/>
      </w:pPr>
      <w:rPr/>
      <w:start w:val="1"/>
      <w:suff w:val="tab"/>
    </w:lvl>
    <w:lvl w:ilvl="3">
      <w:isLgl w:val="false"/>
      <w:lvlJc w:val="left"/>
      <w:lvlText w:val="%1.%2.%3.%4."/>
      <w:numFmt w:val="decimal"/>
      <w:pPr>
        <w:pBdr/>
        <w:spacing/>
        <w:ind w:hanging="360" w:left="2880"/>
      </w:pPr>
      <w:rPr/>
      <w:start w:val="1"/>
      <w:suff w:val="tab"/>
    </w:lvl>
    <w:lvl w:ilvl="4">
      <w:isLgl w:val="false"/>
      <w:lvlJc w:val="left"/>
      <w:lvlText w:val="%1.%2.%3.%4.%5."/>
      <w:numFmt w:val="decimal"/>
      <w:pPr>
        <w:pBdr/>
        <w:spacing/>
        <w:ind w:hanging="360" w:left="3600"/>
      </w:pPr>
      <w:rPr/>
      <w:start w:val="1"/>
      <w:suff w:val="tab"/>
    </w:lvl>
    <w:lvl w:ilvl="5">
      <w:isLgl w:val="false"/>
      <w:lvlJc w:val="left"/>
      <w:lvlText w:val="%1.%2.%3.%4.%5.%6."/>
      <w:numFmt w:val="decimal"/>
      <w:pPr>
        <w:pBdr/>
        <w:spacing/>
        <w:ind w:hanging="180" w:left="4320"/>
      </w:pPr>
      <w:rPr/>
      <w:start w:val="1"/>
      <w:suff w:val="tab"/>
    </w:lvl>
    <w:lvl w:ilvl="6">
      <w:isLgl w:val="false"/>
      <w:lvlJc w:val="left"/>
      <w:lvlText w:val="%1.%2.%3.%4.%5.%6.%7."/>
      <w:numFmt w:val="decimal"/>
      <w:pPr>
        <w:pBdr/>
        <w:spacing/>
        <w:ind w:hanging="360" w:left="5040"/>
      </w:pPr>
      <w:rPr/>
      <w:start w:val="1"/>
      <w:suff w:val="tab"/>
    </w:lvl>
    <w:lvl w:ilvl="7">
      <w:isLgl w:val="false"/>
      <w:lvlJc w:val="left"/>
      <w:lvlText w:val="%1.%2.%3.%4.%5.%6.%7.%8."/>
      <w:numFmt w:val="decimal"/>
      <w:pPr>
        <w:pBdr/>
        <w:spacing/>
        <w:ind w:hanging="360" w:left="5760"/>
      </w:pPr>
      <w:rPr/>
      <w:start w:val="1"/>
      <w:suff w:val="tab"/>
    </w:lvl>
    <w:lvl w:ilvl="8">
      <w:isLgl w:val="false"/>
      <w:lvlJc w:val="left"/>
      <w:lvlText w:val="%1.%2.%3.%4.%5.%6.%7.%8.%9."/>
      <w:numFmt w:val="decimal"/>
      <w:pPr>
        <w:pBdr/>
        <w:spacing/>
        <w:ind w:hanging="180" w:left="6480"/>
      </w:pPr>
      <w:rPr/>
      <w:start w:val="1"/>
      <w:suff w:val="tab"/>
    </w:lvl>
  </w:abstractNum>
  <w:abstractNum w:abstractNumId="25">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left"/>
      <w:lvlText w:val="%3."/>
      <w:numFmt w:val="decimal"/>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6">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3."/>
      <w:numFmt w:val="decimal"/>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lvl w:ilvl="0">
      <w:isLgl w:val="false"/>
      <w:lvlJc w:val="left"/>
      <w:lvlText w:val="%1."/>
      <w:numFmt w:val="decimal"/>
      <w:pPr>
        <w:pBdr/>
        <w:spacing/>
        <w:ind w:hanging="360" w:left="720"/>
      </w:pPr>
      <w:rPr/>
      <w:start w:val="1"/>
      <w:suff w:val="tab"/>
    </w:lvl>
    <w:lvl w:ilvl="1">
      <w:isLgl w:val="false"/>
      <w:lvlJc w:val="left"/>
      <w:lvlText w:val="%1.%2."/>
      <w:numFmt w:val="decimal"/>
      <w:pPr>
        <w:pBdr/>
        <w:spacing/>
        <w:ind w:hanging="360" w:left="1440"/>
      </w:pPr>
      <w:rPr/>
      <w:start w:val="4"/>
      <w:suff w:val="tab"/>
    </w:lvl>
    <w:lvl w:ilvl="2">
      <w:isLgl w:val="false"/>
      <w:lvlJc w:val="left"/>
      <w:lvlText w:val="%1.%2.%3."/>
      <w:numFmt w:val="decimal"/>
      <w:pPr>
        <w:pBdr/>
        <w:spacing/>
        <w:ind w:hanging="180" w:left="2160"/>
      </w:pPr>
      <w:rPr/>
      <w:start w:val="1"/>
      <w:suff w:val="tab"/>
    </w:lvl>
    <w:lvl w:ilvl="3">
      <w:isLgl w:val="false"/>
      <w:lvlJc w:val="left"/>
      <w:lvlText w:val="%1.%2.%3.%4."/>
      <w:numFmt w:val="decimal"/>
      <w:pPr>
        <w:pBdr/>
        <w:spacing/>
        <w:ind w:hanging="360" w:left="2880"/>
      </w:pPr>
      <w:rPr/>
      <w:start w:val="1"/>
      <w:suff w:val="tab"/>
    </w:lvl>
    <w:lvl w:ilvl="4">
      <w:isLgl w:val="false"/>
      <w:lvlJc w:val="left"/>
      <w:lvlText w:val="%1.%2.%3.%4.%5."/>
      <w:numFmt w:val="decimal"/>
      <w:pPr>
        <w:pBdr/>
        <w:spacing/>
        <w:ind w:hanging="360" w:left="3600"/>
      </w:pPr>
      <w:rPr/>
      <w:start w:val="1"/>
      <w:suff w:val="tab"/>
    </w:lvl>
    <w:lvl w:ilvl="5">
      <w:isLgl w:val="false"/>
      <w:lvlJc w:val="left"/>
      <w:lvlText w:val="%1.%2.%3.%4.%5.%6."/>
      <w:numFmt w:val="decimal"/>
      <w:pPr>
        <w:pBdr/>
        <w:spacing/>
        <w:ind w:hanging="180" w:left="4320"/>
      </w:pPr>
      <w:rPr/>
      <w:start w:val="1"/>
      <w:suff w:val="tab"/>
    </w:lvl>
    <w:lvl w:ilvl="6">
      <w:isLgl w:val="false"/>
      <w:lvlJc w:val="left"/>
      <w:lvlText w:val="%1.%2.%3.%4.%5.%6.%7."/>
      <w:numFmt w:val="decimal"/>
      <w:pPr>
        <w:pBdr/>
        <w:spacing/>
        <w:ind w:hanging="360" w:left="5040"/>
      </w:pPr>
      <w:rPr/>
      <w:start w:val="1"/>
      <w:suff w:val="tab"/>
    </w:lvl>
    <w:lvl w:ilvl="7">
      <w:isLgl w:val="false"/>
      <w:lvlJc w:val="left"/>
      <w:lvlText w:val="%1.%2.%3.%4.%5.%6.%7.%8."/>
      <w:numFmt w:val="decimal"/>
      <w:pPr>
        <w:pBdr/>
        <w:spacing/>
        <w:ind w:hanging="360" w:left="5760"/>
      </w:pPr>
      <w:rPr/>
      <w:start w:val="1"/>
      <w:suff w:val="tab"/>
    </w:lvl>
    <w:lvl w:ilvl="8">
      <w:isLgl w:val="false"/>
      <w:lvlJc w:val="left"/>
      <w:lvlText w:val="%1.%2.%3.%4.%5.%6.%7.%8.%9."/>
      <w:numFmt w:val="decimal"/>
      <w:pPr>
        <w:pBdr/>
        <w:spacing/>
        <w:ind w:hanging="180" w:left="6480"/>
      </w:pPr>
      <w:rPr/>
      <w:start w:val="1"/>
      <w:suff w:val="tab"/>
    </w:lvl>
  </w:abstractNum>
  <w:abstractNum w:abstractNumId="28">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9">
    <w:lvl w:ilvl="0">
      <w:isLgl w:val="false"/>
      <w:lvlJc w:val="left"/>
      <w:lvlText w:val="%1."/>
      <w:numFmt w:val="decimal"/>
      <w:pPr>
        <w:pBdr/>
        <w:spacing/>
        <w:ind w:hanging="435" w:left="435"/>
      </w:pPr>
      <w:rPr>
        <w:rFonts w:hint="default"/>
      </w:rPr>
      <w:start w:val="8"/>
      <w:suff w:val="tab"/>
    </w:lvl>
    <w:lvl w:ilvl="1">
      <w:isLgl w:val="false"/>
      <w:lvlJc w:val="left"/>
      <w:lvlText w:val="%1.%2."/>
      <w:numFmt w:val="decimal"/>
      <w:pPr>
        <w:pBdr/>
        <w:spacing/>
        <w:ind w:hanging="435" w:left="435"/>
      </w:pPr>
      <w:rPr>
        <w:rFonts w:hint="default"/>
      </w:rPr>
      <w:start w:val="27"/>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0">
    <w:lvl w:ilvl="0">
      <w:isLgl w:val="false"/>
      <w:lvlJc w:val="left"/>
      <w:lvlText w:val="%1"/>
      <w:numFmt w:val="decimal"/>
      <w:pPr>
        <w:pBdr/>
        <w:spacing/>
        <w:ind w:hanging="540" w:left="540"/>
      </w:pPr>
      <w:rPr>
        <w:rFonts w:hint="default"/>
        <w:color w:val="000000" w:themeColor="text1"/>
      </w:rPr>
      <w:start w:val="7"/>
      <w:suff w:val="tab"/>
    </w:lvl>
    <w:lvl w:ilvl="1">
      <w:isLgl w:val="false"/>
      <w:lvlJc w:val="left"/>
      <w:lvlText w:val="%1.%2"/>
      <w:numFmt w:val="decimal"/>
      <w:pPr>
        <w:pBdr/>
        <w:spacing/>
        <w:ind w:hanging="540" w:left="965"/>
      </w:pPr>
      <w:rPr>
        <w:rFonts w:hint="default"/>
        <w:color w:val="000000" w:themeColor="text1"/>
      </w:rPr>
      <w:start w:val="10"/>
      <w:suff w:val="tab"/>
    </w:lvl>
    <w:lvl w:ilvl="2">
      <w:isLgl w:val="false"/>
      <w:lvlJc w:val="left"/>
      <w:lvlText w:val="%1.%2.%3"/>
      <w:numFmt w:val="decimal"/>
      <w:pPr>
        <w:pBdr/>
        <w:spacing/>
        <w:ind w:hanging="720" w:left="1570"/>
      </w:pPr>
      <w:rPr>
        <w:rFonts w:hint="default"/>
        <w:color w:val="000000" w:themeColor="text1"/>
      </w:rPr>
      <w:start w:val="1"/>
      <w:suff w:val="tab"/>
    </w:lvl>
    <w:lvl w:ilvl="3">
      <w:isLgl w:val="false"/>
      <w:lvlJc w:val="left"/>
      <w:lvlText w:val="%1.%2.%3.%4"/>
      <w:numFmt w:val="decimal"/>
      <w:pPr>
        <w:pBdr/>
        <w:spacing/>
        <w:ind w:hanging="720" w:left="1995"/>
      </w:pPr>
      <w:rPr>
        <w:rFonts w:hint="default"/>
        <w:color w:val="000000" w:themeColor="text1"/>
      </w:rPr>
      <w:start w:val="1"/>
      <w:suff w:val="tab"/>
    </w:lvl>
    <w:lvl w:ilvl="4">
      <w:isLgl w:val="false"/>
      <w:lvlJc w:val="left"/>
      <w:lvlText w:val="%1.%2.%3.%4.%5"/>
      <w:numFmt w:val="decimal"/>
      <w:pPr>
        <w:pBdr/>
        <w:spacing/>
        <w:ind w:hanging="1080" w:left="2780"/>
      </w:pPr>
      <w:rPr>
        <w:rFonts w:hint="default"/>
        <w:color w:val="000000" w:themeColor="text1"/>
      </w:rPr>
      <w:start w:val="1"/>
      <w:suff w:val="tab"/>
    </w:lvl>
    <w:lvl w:ilvl="5">
      <w:isLgl w:val="false"/>
      <w:lvlJc w:val="left"/>
      <w:lvlText w:val="%1.%2.%3.%4.%5.%6"/>
      <w:numFmt w:val="decimal"/>
      <w:pPr>
        <w:pBdr/>
        <w:spacing/>
        <w:ind w:hanging="1080" w:left="3205"/>
      </w:pPr>
      <w:rPr>
        <w:rFonts w:hint="default"/>
        <w:color w:val="000000" w:themeColor="text1"/>
      </w:rPr>
      <w:start w:val="1"/>
      <w:suff w:val="tab"/>
    </w:lvl>
    <w:lvl w:ilvl="6">
      <w:isLgl w:val="false"/>
      <w:lvlJc w:val="left"/>
      <w:lvlText w:val="%1.%2.%3.%4.%5.%6.%7"/>
      <w:numFmt w:val="decimal"/>
      <w:pPr>
        <w:pBdr/>
        <w:spacing/>
        <w:ind w:hanging="1440" w:left="3990"/>
      </w:pPr>
      <w:rPr>
        <w:rFonts w:hint="default"/>
        <w:color w:val="000000" w:themeColor="text1"/>
      </w:rPr>
      <w:start w:val="1"/>
      <w:suff w:val="tab"/>
    </w:lvl>
    <w:lvl w:ilvl="7">
      <w:isLgl w:val="false"/>
      <w:lvlJc w:val="left"/>
      <w:lvlText w:val="%1.%2.%3.%4.%5.%6.%7.%8"/>
      <w:numFmt w:val="decimal"/>
      <w:pPr>
        <w:pBdr/>
        <w:spacing/>
        <w:ind w:hanging="1440" w:left="4415"/>
      </w:pPr>
      <w:rPr>
        <w:rFonts w:hint="default"/>
        <w:color w:val="000000" w:themeColor="text1"/>
      </w:rPr>
      <w:start w:val="1"/>
      <w:suff w:val="tab"/>
    </w:lvl>
    <w:lvl w:ilvl="8">
      <w:isLgl w:val="false"/>
      <w:lvlJc w:val="left"/>
      <w:lvlText w:val="%1.%2.%3.%4.%5.%6.%7.%8.%9"/>
      <w:numFmt w:val="decimal"/>
      <w:pPr>
        <w:pBdr/>
        <w:spacing/>
        <w:ind w:hanging="1800" w:left="5200"/>
      </w:pPr>
      <w:rPr>
        <w:rFonts w:hint="default"/>
        <w:color w:val="000000" w:themeColor="text1"/>
      </w:rPr>
      <w:start w:val="1"/>
      <w:suff w:val="tab"/>
    </w:lvl>
  </w:abstractNum>
  <w:abstractNum w:abstractNumId="31">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2">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3">
    <w:lvl w:ilvl="0">
      <w:isLgl w:val="false"/>
      <w:lvlJc w:val="left"/>
      <w:lvlText w:val="%1."/>
      <w:numFmt w:val="decimal"/>
      <w:pPr>
        <w:pBdr/>
        <w:spacing/>
        <w:ind w:hanging="435" w:left="435"/>
      </w:pPr>
      <w:rPr>
        <w:rFonts w:hint="default"/>
      </w:rPr>
      <w:start w:val="8"/>
      <w:suff w:val="tab"/>
    </w:lvl>
    <w:lvl w:ilvl="1">
      <w:isLgl w:val="false"/>
      <w:lvlJc w:val="left"/>
      <w:lvlText w:val="%1.%2."/>
      <w:numFmt w:val="decimal"/>
      <w:pPr>
        <w:pBdr/>
        <w:spacing/>
        <w:ind w:hanging="435" w:left="435"/>
      </w:pPr>
      <w:rPr>
        <w:rFonts w:hint="default"/>
      </w:rPr>
      <w:start w:val="27"/>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4">
    <w:styleLink w:val="1067"/>
    <w:lvl w:ilvl="0">
      <w:isLgl w:val="false"/>
      <w:lvlJc w:val="left"/>
      <w:lvlText w:val="%1)"/>
      <w:numFmt w:val="decimal"/>
      <w:pPr>
        <w:pBdr/>
        <w:spacing/>
        <w:ind w:hanging="360" w:left="360"/>
      </w:pPr>
      <w:pStyle w:val="1067"/>
      <w:rPr/>
      <w:start w:val="61"/>
      <w:suff w:val="tab"/>
    </w:lvl>
    <w:lvl w:ilvl="1">
      <w:isLgl w:val="false"/>
      <w:lvlJc w:val="left"/>
      <w:lvlText w:val="%2)"/>
      <w:numFmt w:val="lowerLetter"/>
      <w:pPr>
        <w:pBdr/>
        <w:spacing/>
        <w:ind w:hanging="360" w:left="720"/>
      </w:pPr>
      <w:rPr/>
      <w:start w:val="1"/>
      <w:suff w:val="tab"/>
    </w:lvl>
    <w:lvl w:ilvl="2">
      <w:isLgl w:val="false"/>
      <w:lvlJc w:val="left"/>
      <w:lvlText w:val="%3)"/>
      <w:numFmt w:val="lowerRoman"/>
      <w:pPr>
        <w:pBdr/>
        <w:spacing/>
        <w:ind w:hanging="360" w:left="1080"/>
      </w:pPr>
      <w:rPr/>
      <w:start w:val="1"/>
      <w:suff w:val="tab"/>
    </w:lvl>
    <w:lvl w:ilvl="3">
      <w:isLgl w:val="false"/>
      <w:lvlJc w:val="left"/>
      <w:lvlText w:val="(%4)"/>
      <w:numFmt w:val="decimal"/>
      <w:pPr>
        <w:pBdr/>
        <w:spacing/>
        <w:ind w:hanging="360" w:left="1440"/>
      </w:pPr>
      <w:rPr/>
      <w:start w:val="1"/>
      <w:suff w:val="tab"/>
    </w:lvl>
    <w:lvl w:ilvl="4">
      <w:isLgl w:val="false"/>
      <w:lvlJc w:val="left"/>
      <w:lvlText w:val="(%5)"/>
      <w:numFmt w:val="lowerLetter"/>
      <w:pPr>
        <w:pBdr/>
        <w:spacing/>
        <w:ind w:hanging="360" w:left="1800"/>
      </w:pPr>
      <w:rPr/>
      <w:start w:val="1"/>
      <w:suff w:val="tab"/>
    </w:lvl>
    <w:lvl w:ilvl="5">
      <w:isLgl w:val="false"/>
      <w:lvlJc w:val="left"/>
      <w:lvlText w:val="(%6)"/>
      <w:numFmt w:val="lowerRoman"/>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lowerLetter"/>
      <w:pPr>
        <w:pBdr/>
        <w:spacing/>
        <w:ind w:hanging="360" w:left="2880"/>
      </w:pPr>
      <w:rPr/>
      <w:start w:val="1"/>
      <w:suff w:val="tab"/>
    </w:lvl>
    <w:lvl w:ilvl="8">
      <w:isLgl w:val="false"/>
      <w:lvlJc w:val="left"/>
      <w:lvlText w:val="%9."/>
      <w:numFmt w:val="lowerRoman"/>
      <w:pPr>
        <w:pBdr/>
        <w:spacing/>
        <w:ind w:hanging="360" w:left="3240"/>
      </w:pPr>
      <w:rPr/>
      <w:start w:val="1"/>
      <w:suff w:val="tab"/>
    </w:lvl>
  </w:abstractNum>
  <w:abstractNum w:abstractNumId="35">
    <w:lvl w:ilvl="0">
      <w:isLgl w:val="false"/>
      <w:lvlJc w:val="left"/>
      <w:lvlText w:val="%1."/>
      <w:numFmt w:val="decimal"/>
      <w:pPr>
        <w:pBdr/>
        <w:spacing/>
        <w:ind w:hanging="435" w:left="435"/>
      </w:pPr>
      <w:rPr>
        <w:rFonts w:hint="default"/>
      </w:rPr>
      <w:start w:val="8"/>
      <w:suff w:val="tab"/>
    </w:lvl>
    <w:lvl w:ilvl="1">
      <w:isLgl w:val="false"/>
      <w:lvlJc w:val="left"/>
      <w:lvlText w:val="%1.%2."/>
      <w:numFmt w:val="decimal"/>
      <w:pPr>
        <w:pBdr/>
        <w:spacing/>
        <w:ind w:hanging="435" w:left="435"/>
      </w:pPr>
      <w:rPr>
        <w:rFonts w:hint="default"/>
      </w:rPr>
      <w:start w:val="25"/>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6">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7">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8">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9">
    <w:styleLink w:val="1062"/>
    <w:lvl w:ilvl="0">
      <w:isLgl w:val="false"/>
      <w:lvlJc w:val="left"/>
      <w:lvlText w:val="%1."/>
      <w:numFmt w:val="decimal"/>
      <w:pPr>
        <w:pBdr/>
        <w:spacing/>
        <w:ind w:hanging="555" w:left="555"/>
      </w:pPr>
      <w:pStyle w:val="1062"/>
      <w:rPr>
        <w:rFonts w:hint="default"/>
      </w:rPr>
      <w:start w:val="8"/>
      <w:suff w:val="tab"/>
    </w:lvl>
    <w:lvl w:ilvl="1">
      <w:isLgl w:val="false"/>
      <w:lvlJc w:val="left"/>
      <w:lvlText w:val="%1.%2."/>
      <w:numFmt w:val="decimal"/>
      <w:pPr>
        <w:pBdr/>
        <w:spacing/>
        <w:ind w:hanging="720" w:left="1222"/>
      </w:pPr>
      <w:rPr>
        <w:rFonts w:hint="default"/>
      </w:rPr>
      <w:start w:val="3"/>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1080" w:left="2586"/>
      </w:pPr>
      <w:rPr>
        <w:rFonts w:hint="default"/>
      </w:rPr>
      <w:start w:val="1"/>
      <w:suff w:val="tab"/>
    </w:lvl>
    <w:lvl w:ilvl="4">
      <w:isLgl w:val="false"/>
      <w:lvlJc w:val="left"/>
      <w:lvlText w:val="%1.%2.%3.%4.%5."/>
      <w:numFmt w:val="decimal"/>
      <w:pPr>
        <w:pBdr/>
        <w:spacing/>
        <w:ind w:hanging="1440" w:left="3448"/>
      </w:pPr>
      <w:rPr>
        <w:rFonts w:hint="default"/>
      </w:rPr>
      <w:start w:val="1"/>
      <w:suff w:val="tab"/>
    </w:lvl>
    <w:lvl w:ilvl="5">
      <w:isLgl w:val="false"/>
      <w:lvlJc w:val="left"/>
      <w:lvlText w:val="%1.%2.%3.%4.%5.%6."/>
      <w:numFmt w:val="decimal"/>
      <w:pPr>
        <w:pBdr/>
        <w:spacing/>
        <w:ind w:hanging="1440" w:left="3950"/>
      </w:pPr>
      <w:rPr>
        <w:rFonts w:hint="default"/>
      </w:rPr>
      <w:start w:val="1"/>
      <w:suff w:val="tab"/>
    </w:lvl>
    <w:lvl w:ilvl="6">
      <w:isLgl w:val="false"/>
      <w:lvlJc w:val="left"/>
      <w:lvlText w:val="%1.%2.%3.%4.%5.%6.%7."/>
      <w:numFmt w:val="decimal"/>
      <w:pPr>
        <w:pBdr/>
        <w:spacing/>
        <w:ind w:hanging="1800" w:left="4812"/>
      </w:pPr>
      <w:rPr>
        <w:rFonts w:hint="default"/>
      </w:rPr>
      <w:start w:val="1"/>
      <w:suff w:val="tab"/>
    </w:lvl>
    <w:lvl w:ilvl="7">
      <w:isLgl w:val="false"/>
      <w:lvlJc w:val="left"/>
      <w:lvlText w:val="%1.%2.%3.%4.%5.%6.%7.%8."/>
      <w:numFmt w:val="decimal"/>
      <w:pPr>
        <w:pBdr/>
        <w:spacing/>
        <w:ind w:hanging="2160" w:left="5674"/>
      </w:pPr>
      <w:rPr>
        <w:rFonts w:hint="default"/>
      </w:rPr>
      <w:start w:val="1"/>
      <w:suff w:val="tab"/>
    </w:lvl>
    <w:lvl w:ilvl="8">
      <w:isLgl w:val="false"/>
      <w:lvlJc w:val="left"/>
      <w:lvlText w:val="%1.%2.%3.%4.%5.%6.%7.%8.%9."/>
      <w:numFmt w:val="decimal"/>
      <w:pPr>
        <w:pBdr/>
        <w:spacing/>
        <w:ind w:hanging="2160" w:left="6176"/>
      </w:pPr>
      <w:rPr>
        <w:rFonts w:hint="default"/>
      </w:rPr>
      <w:start w:val="1"/>
      <w:suff w:val="tab"/>
    </w:lvl>
  </w:abstractNum>
  <w:abstractNum w:abstractNumId="40">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1">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left"/>
      <w:lvlText w:val="%1.%2."/>
      <w:numFmt w:val="decimal"/>
      <w:pPr>
        <w:pBdr/>
        <w:spacing/>
        <w:ind w:hanging="504" w:left="1213"/>
      </w:pPr>
      <w:rPr>
        <w:rFonts w:hint="default" w:ascii="Calibri" w:hAnsi="Calibri"/>
      </w:rPr>
      <w:start w:val="2"/>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2">
    <w:lvl w:ilvl="0">
      <w:isLgl w:val="false"/>
      <w:lvlJc w:val="left"/>
      <w:lvlText w:val="%1."/>
      <w:numFmt w:val="decimal"/>
      <w:pPr>
        <w:pBdr/>
        <w:spacing/>
        <w:ind w:hanging="360" w:left="720"/>
      </w:pPr>
      <w:rPr/>
      <w:start w:val="1"/>
      <w:suff w:val="tab"/>
    </w:lvl>
    <w:lvl w:ilvl="1">
      <w:isLgl w:val="false"/>
      <w:lvlJc w:val="left"/>
      <w:lvlText w:val="%2."/>
      <w:numFmt w:val="decimal"/>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3">
    <w:styleLink w:val="1063"/>
    <w:lvl w:ilvl="0">
      <w:isLgl w:val="false"/>
      <w:lvlJc w:val="left"/>
      <w:lvlText w:val="%1)"/>
      <w:numFmt w:val="decimal"/>
      <w:pPr>
        <w:pBdr/>
        <w:spacing/>
        <w:ind w:hanging="360" w:left="360"/>
      </w:pPr>
      <w:pStyle w:val="1063"/>
      <w:rPr>
        <w:rFonts w:ascii="1" w:hAnsi="1"/>
      </w:rPr>
      <w:start w:val="1"/>
      <w:suff w:val="tab"/>
    </w:lvl>
    <w:lvl w:ilvl="1">
      <w:isLgl w:val="false"/>
      <w:lvlJc w:val="left"/>
      <w:lvlText w:val="%2)"/>
      <w:numFmt w:val="lowerLetter"/>
      <w:pPr>
        <w:pBdr/>
        <w:spacing/>
        <w:ind w:hanging="360" w:left="720"/>
      </w:pPr>
      <w:rPr/>
      <w:start w:val="1"/>
      <w:suff w:val="tab"/>
    </w:lvl>
    <w:lvl w:ilvl="2">
      <w:isLgl w:val="false"/>
      <w:lvlJc w:val="left"/>
      <w:lvlText w:val="%3)"/>
      <w:numFmt w:val="lowerRoman"/>
      <w:pPr>
        <w:pBdr/>
        <w:spacing/>
        <w:ind w:hanging="360" w:left="1080"/>
      </w:pPr>
      <w:rPr/>
      <w:start w:val="1"/>
      <w:suff w:val="tab"/>
    </w:lvl>
    <w:lvl w:ilvl="3">
      <w:isLgl w:val="false"/>
      <w:lvlJc w:val="left"/>
      <w:lvlText w:val="(%4)"/>
      <w:numFmt w:val="decimal"/>
      <w:pPr>
        <w:pBdr/>
        <w:spacing/>
        <w:ind w:hanging="360" w:left="1440"/>
      </w:pPr>
      <w:rPr/>
      <w:start w:val="1"/>
      <w:suff w:val="tab"/>
    </w:lvl>
    <w:lvl w:ilvl="4">
      <w:isLgl w:val="false"/>
      <w:lvlJc w:val="left"/>
      <w:lvlText w:val="(%5)"/>
      <w:numFmt w:val="lowerLetter"/>
      <w:pPr>
        <w:pBdr/>
        <w:spacing/>
        <w:ind w:hanging="360" w:left="1800"/>
      </w:pPr>
      <w:rPr/>
      <w:start w:val="1"/>
      <w:suff w:val="tab"/>
    </w:lvl>
    <w:lvl w:ilvl="5">
      <w:isLgl w:val="false"/>
      <w:lvlJc w:val="left"/>
      <w:lvlText w:val="(%6)"/>
      <w:numFmt w:val="lowerRoman"/>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lowerLetter"/>
      <w:pPr>
        <w:pBdr/>
        <w:spacing/>
        <w:ind w:hanging="360" w:left="2880"/>
      </w:pPr>
      <w:rPr/>
      <w:start w:val="1"/>
      <w:suff w:val="tab"/>
    </w:lvl>
    <w:lvl w:ilvl="8">
      <w:isLgl w:val="false"/>
      <w:lvlJc w:val="left"/>
      <w:lvlText w:val="%9."/>
      <w:numFmt w:val="lowerRoman"/>
      <w:pPr>
        <w:pBdr/>
        <w:spacing/>
        <w:ind w:hanging="360" w:left="3240"/>
      </w:pPr>
      <w:rPr/>
      <w:start w:val="1"/>
      <w:suff w:val="tab"/>
    </w:lvl>
  </w:abstractNum>
  <w:abstractNum w:abstractNumId="44">
    <w:lvl w:ilvl="0">
      <w:isLgl w:val="false"/>
      <w:lvlJc w:val="left"/>
      <w:lvlText w:val="%1."/>
      <w:numFmt w:val="decimal"/>
      <w:pPr>
        <w:pBdr/>
        <w:tabs>
          <w:tab w:val="num" w:leader="none" w:pos="0"/>
        </w:tabs>
        <w:spacing/>
        <w:ind w:hanging="360" w:left="720"/>
      </w:pPr>
      <w:rPr>
        <w:b/>
        <w:sz w:val="22"/>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num w:numId="1">
    <w:abstractNumId w:val="31"/>
  </w:num>
  <w:num w:numId="2">
    <w:abstractNumId w:val="23"/>
  </w:num>
  <w:num w:numId="3">
    <w:abstractNumId w:val="32"/>
  </w:num>
  <w:num w:numId="4">
    <w:abstractNumId w:val="28"/>
  </w:num>
  <w:num w:numId="5">
    <w:abstractNumId w:val="16"/>
  </w:num>
  <w:num w:numId="6">
    <w:abstractNumId w:val="8"/>
  </w:num>
  <w:num w:numId="7">
    <w:abstractNumId w:val="3"/>
  </w:num>
  <w:num w:numId="8">
    <w:abstractNumId w:val="12"/>
  </w:num>
  <w:num w:numId="9">
    <w:abstractNumId w:val="37"/>
  </w:num>
  <w:num w:numId="10">
    <w:abstractNumId w:val="40"/>
  </w:num>
  <w:num w:numId="11">
    <w:abstractNumId w:val="42"/>
  </w:num>
  <w:num w:numId="12">
    <w:abstractNumId w:val="2"/>
  </w:num>
  <w:num w:numId="13">
    <w:abstractNumId w:val="4"/>
  </w:num>
  <w:num w:numId="14">
    <w:abstractNumId w:val="11"/>
  </w:num>
  <w:num w:numId="15">
    <w:abstractNumId w:val="1"/>
  </w:num>
  <w:num w:numId="16">
    <w:abstractNumId w:val="15"/>
  </w:num>
  <w:num w:numId="17">
    <w:abstractNumId w:val="20"/>
  </w:num>
  <w:num w:numId="18">
    <w:abstractNumId w:val="26"/>
  </w:num>
  <w:num w:numId="19">
    <w:abstractNumId w:val="25"/>
  </w:num>
  <w:num w:numId="20">
    <w:abstractNumId w:val="9"/>
  </w:num>
  <w:num w:numId="21">
    <w:abstractNumId w:val="38"/>
  </w:num>
  <w:num w:numId="22">
    <w:abstractNumId w:val="36"/>
  </w:num>
  <w:num w:numId="23">
    <w:abstractNumId w:val="10"/>
  </w:num>
  <w:num w:numId="24">
    <w:abstractNumId w:val="27"/>
  </w:num>
  <w:num w:numId="25">
    <w:abstractNumId w:val="24"/>
  </w:num>
  <w:num w:numId="26">
    <w:abstractNumId w:val="41"/>
  </w:num>
  <w:num w:numId="27">
    <w:abstractNumId w:val="5"/>
  </w:num>
  <w:num w:numId="28">
    <w:abstractNumId w:val="7"/>
  </w:num>
  <w:num w:numId="29">
    <w:abstractNumId w:val="14"/>
  </w:num>
  <w:num w:numId="30">
    <w:abstractNumId w:val="18"/>
  </w:num>
  <w:num w:numId="31">
    <w:abstractNumId w:val="6"/>
  </w:num>
  <w:num w:numId="32">
    <w:abstractNumId w:val="0"/>
  </w:num>
  <w:num w:numId="33">
    <w:abstractNumId w:val="39"/>
  </w:num>
  <w:num w:numId="34">
    <w:abstractNumId w:val="43"/>
  </w:num>
  <w:num w:numId="35">
    <w:abstractNumId w:val="17"/>
  </w:num>
  <w:num w:numId="36">
    <w:abstractNumId w:val="13"/>
  </w:num>
  <w:num w:numId="37">
    <w:abstractNumId w:val="22"/>
  </w:num>
  <w:num w:numId="38">
    <w:abstractNumId w:val="34"/>
  </w:num>
  <w:num w:numId="39">
    <w:abstractNumId w:val="6"/>
  </w:num>
  <w:num w:numId="40">
    <w:abstractNumId w:val="21"/>
  </w:num>
  <w:num w:numId="41">
    <w:abstractNumId w:val="19"/>
  </w:num>
  <w:num w:numId="42">
    <w:abstractNumId w:val="30"/>
  </w:num>
  <w:num w:numId="43">
    <w:abstractNumId w:val="35"/>
  </w:num>
  <w:num w:numId="44">
    <w:abstractNumId w:val="33"/>
  </w:num>
  <w:num w:numId="45">
    <w:abstractNumId w:val="29"/>
  </w:num>
  <w:num w:numId="46">
    <w:abstractNumId w:val="6"/>
    <w:lvlOverride w:ilvl="0">
      <w:startOverride w:val="2"/>
    </w:lvlOverride>
    <w:lvlOverride w:ilvl="1">
      <w:startOverride w:val="2"/>
    </w:lvlOverride>
  </w:num>
  <w:num w:numId="47">
    <w:abstractNumId w:val="6"/>
  </w:num>
  <w:num w:numId="48">
    <w:abstractNumId w:val="44"/>
    <w:lvlOverride w:ilvl="0">
      <w:startOverride w:val="1"/>
    </w:lvlOverride>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8"/>
  <w:hyphenationZone w:val="425"/>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cs="Times New Roman" w:eastAsiaTheme="minorEastAsia"/>
        <w:lang w:val="pt-BR"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71">
    <w:name w:val="Heading 1 Char"/>
    <w:basedOn w:val="1041"/>
    <w:link w:val="1036"/>
    <w:uiPriority w:val="9"/>
    <w:pPr>
      <w:pBdr/>
      <w:spacing/>
      <w:ind/>
    </w:pPr>
    <w:rPr>
      <w:rFonts w:ascii="Arial" w:hAnsi="Arial" w:eastAsia="Arial" w:cs="Arial"/>
      <w:sz w:val="40"/>
      <w:szCs w:val="40"/>
    </w:rPr>
  </w:style>
  <w:style w:type="character" w:styleId="872">
    <w:name w:val="Heading 2 Char"/>
    <w:basedOn w:val="1041"/>
    <w:link w:val="1037"/>
    <w:uiPriority w:val="9"/>
    <w:pPr>
      <w:pBdr/>
      <w:spacing/>
      <w:ind/>
    </w:pPr>
    <w:rPr>
      <w:rFonts w:ascii="Arial" w:hAnsi="Arial" w:eastAsia="Arial" w:cs="Arial"/>
      <w:sz w:val="34"/>
    </w:rPr>
  </w:style>
  <w:style w:type="character" w:styleId="873">
    <w:name w:val="Heading 3 Char"/>
    <w:basedOn w:val="1041"/>
    <w:link w:val="1038"/>
    <w:uiPriority w:val="9"/>
    <w:pPr>
      <w:pBdr/>
      <w:spacing/>
      <w:ind/>
    </w:pPr>
    <w:rPr>
      <w:rFonts w:ascii="Arial" w:hAnsi="Arial" w:eastAsia="Arial" w:cs="Arial"/>
      <w:sz w:val="30"/>
      <w:szCs w:val="30"/>
    </w:rPr>
  </w:style>
  <w:style w:type="character" w:styleId="874">
    <w:name w:val="Heading 4 Char"/>
    <w:basedOn w:val="1041"/>
    <w:link w:val="1039"/>
    <w:uiPriority w:val="9"/>
    <w:pPr>
      <w:pBdr/>
      <w:spacing/>
      <w:ind/>
    </w:pPr>
    <w:rPr>
      <w:rFonts w:ascii="Arial" w:hAnsi="Arial" w:eastAsia="Arial" w:cs="Arial"/>
      <w:b/>
      <w:bCs/>
      <w:sz w:val="26"/>
      <w:szCs w:val="26"/>
    </w:rPr>
  </w:style>
  <w:style w:type="paragraph" w:styleId="875">
    <w:name w:val="Heading 5"/>
    <w:basedOn w:val="1035"/>
    <w:next w:val="1035"/>
    <w:link w:val="876"/>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876">
    <w:name w:val="Heading 5 Char"/>
    <w:basedOn w:val="1041"/>
    <w:link w:val="875"/>
    <w:uiPriority w:val="9"/>
    <w:pPr>
      <w:pBdr/>
      <w:spacing/>
      <w:ind/>
    </w:pPr>
    <w:rPr>
      <w:rFonts w:ascii="Arial" w:hAnsi="Arial" w:eastAsia="Arial" w:cs="Arial"/>
      <w:b/>
      <w:bCs/>
      <w:sz w:val="24"/>
      <w:szCs w:val="24"/>
    </w:rPr>
  </w:style>
  <w:style w:type="character" w:styleId="877">
    <w:name w:val="Heading 6 Char"/>
    <w:basedOn w:val="1041"/>
    <w:link w:val="1040"/>
    <w:uiPriority w:val="9"/>
    <w:pPr>
      <w:pBdr/>
      <w:spacing/>
      <w:ind/>
    </w:pPr>
    <w:rPr>
      <w:rFonts w:ascii="Arial" w:hAnsi="Arial" w:eastAsia="Arial" w:cs="Arial"/>
      <w:b/>
      <w:bCs/>
      <w:sz w:val="22"/>
      <w:szCs w:val="22"/>
    </w:rPr>
  </w:style>
  <w:style w:type="paragraph" w:styleId="878">
    <w:name w:val="Heading 7"/>
    <w:basedOn w:val="1035"/>
    <w:next w:val="1035"/>
    <w:link w:val="879"/>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879">
    <w:name w:val="Heading 7 Char"/>
    <w:basedOn w:val="1041"/>
    <w:link w:val="878"/>
    <w:uiPriority w:val="9"/>
    <w:pPr>
      <w:pBdr/>
      <w:spacing/>
      <w:ind/>
    </w:pPr>
    <w:rPr>
      <w:rFonts w:ascii="Arial" w:hAnsi="Arial" w:eastAsia="Arial" w:cs="Arial"/>
      <w:b/>
      <w:bCs/>
      <w:i/>
      <w:iCs/>
      <w:sz w:val="22"/>
      <w:szCs w:val="22"/>
    </w:rPr>
  </w:style>
  <w:style w:type="paragraph" w:styleId="880">
    <w:name w:val="Heading 8"/>
    <w:basedOn w:val="1035"/>
    <w:next w:val="1035"/>
    <w:link w:val="881"/>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881">
    <w:name w:val="Heading 8 Char"/>
    <w:basedOn w:val="1041"/>
    <w:link w:val="880"/>
    <w:uiPriority w:val="9"/>
    <w:pPr>
      <w:pBdr/>
      <w:spacing/>
      <w:ind/>
    </w:pPr>
    <w:rPr>
      <w:rFonts w:ascii="Arial" w:hAnsi="Arial" w:eastAsia="Arial" w:cs="Arial"/>
      <w:i/>
      <w:iCs/>
      <w:sz w:val="22"/>
      <w:szCs w:val="22"/>
    </w:rPr>
  </w:style>
  <w:style w:type="paragraph" w:styleId="882">
    <w:name w:val="Heading 9"/>
    <w:basedOn w:val="1035"/>
    <w:next w:val="1035"/>
    <w:link w:val="883"/>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883">
    <w:name w:val="Heading 9 Char"/>
    <w:basedOn w:val="1041"/>
    <w:link w:val="882"/>
    <w:uiPriority w:val="9"/>
    <w:pPr>
      <w:pBdr/>
      <w:spacing/>
      <w:ind/>
    </w:pPr>
    <w:rPr>
      <w:rFonts w:ascii="Arial" w:hAnsi="Arial" w:eastAsia="Arial" w:cs="Arial"/>
      <w:i/>
      <w:iCs/>
      <w:sz w:val="21"/>
      <w:szCs w:val="21"/>
    </w:rPr>
  </w:style>
  <w:style w:type="paragraph" w:styleId="884">
    <w:name w:val="No Spacing"/>
    <w:uiPriority w:val="1"/>
    <w:qFormat/>
    <w:pPr>
      <w:pBdr/>
      <w:spacing w:after="0" w:before="0" w:line="240" w:lineRule="auto"/>
      <w:ind/>
    </w:pPr>
  </w:style>
  <w:style w:type="character" w:styleId="885">
    <w:name w:val="Title Char"/>
    <w:basedOn w:val="1041"/>
    <w:link w:val="1076"/>
    <w:uiPriority w:val="10"/>
    <w:pPr>
      <w:pBdr/>
      <w:spacing/>
      <w:ind/>
    </w:pPr>
    <w:rPr>
      <w:sz w:val="48"/>
      <w:szCs w:val="48"/>
    </w:rPr>
  </w:style>
  <w:style w:type="character" w:styleId="886">
    <w:name w:val="Subtitle Char"/>
    <w:basedOn w:val="1041"/>
    <w:link w:val="1168"/>
    <w:uiPriority w:val="11"/>
    <w:pPr>
      <w:pBdr/>
      <w:spacing/>
      <w:ind/>
    </w:pPr>
    <w:rPr>
      <w:sz w:val="24"/>
      <w:szCs w:val="24"/>
    </w:rPr>
  </w:style>
  <w:style w:type="paragraph" w:styleId="887">
    <w:name w:val="Intense Quote"/>
    <w:basedOn w:val="1035"/>
    <w:next w:val="1035"/>
    <w:link w:val="88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888">
    <w:name w:val="Intense Quote Char"/>
    <w:link w:val="887"/>
    <w:uiPriority w:val="30"/>
    <w:pPr>
      <w:pBdr/>
      <w:spacing/>
      <w:ind/>
    </w:pPr>
    <w:rPr>
      <w:i/>
    </w:rPr>
  </w:style>
  <w:style w:type="character" w:styleId="889">
    <w:name w:val="Header Char"/>
    <w:basedOn w:val="1041"/>
    <w:link w:val="1058"/>
    <w:uiPriority w:val="99"/>
    <w:pPr>
      <w:pBdr/>
      <w:spacing/>
      <w:ind/>
    </w:pPr>
  </w:style>
  <w:style w:type="character" w:styleId="890">
    <w:name w:val="Footer Char"/>
    <w:basedOn w:val="1041"/>
    <w:link w:val="1060"/>
    <w:uiPriority w:val="99"/>
    <w:pPr>
      <w:pBdr/>
      <w:spacing/>
      <w:ind/>
    </w:pPr>
  </w:style>
  <w:style w:type="paragraph" w:styleId="891">
    <w:name w:val="Caption"/>
    <w:basedOn w:val="1035"/>
    <w:next w:val="1035"/>
    <w:uiPriority w:val="35"/>
    <w:semiHidden/>
    <w:unhideWhenUsed/>
    <w:qFormat/>
    <w:pPr>
      <w:pBdr/>
      <w:spacing w:line="276" w:lineRule="auto"/>
      <w:ind/>
    </w:pPr>
    <w:rPr>
      <w:b/>
      <w:bCs/>
      <w:color w:val="4f81bd" w:themeColor="accent1"/>
      <w:sz w:val="18"/>
      <w:szCs w:val="18"/>
    </w:rPr>
  </w:style>
  <w:style w:type="character" w:styleId="892">
    <w:name w:val="Caption Char"/>
    <w:basedOn w:val="891"/>
    <w:link w:val="1060"/>
    <w:uiPriority w:val="99"/>
    <w:pPr>
      <w:pBdr/>
      <w:spacing/>
      <w:ind/>
    </w:pPr>
  </w:style>
  <w:style w:type="table" w:styleId="893">
    <w:name w:val="Table Grid Light"/>
    <w:basedOn w:val="104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Plain Table 1"/>
    <w:basedOn w:val="104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Plain Table 2"/>
    <w:basedOn w:val="104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Plain Table 3"/>
    <w:basedOn w:val="104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Plain Table 4"/>
    <w:basedOn w:val="104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Plain Table 5"/>
    <w:basedOn w:val="104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1 Light"/>
    <w:basedOn w:val="104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1 Light - Accent 1"/>
    <w:basedOn w:val="104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1 Light - Accent 2"/>
    <w:basedOn w:val="104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1 Light - Accent 3"/>
    <w:basedOn w:val="104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1 Light - Accent 4"/>
    <w:basedOn w:val="104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1 Light - Accent 5"/>
    <w:basedOn w:val="104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1 Light - Accent 6"/>
    <w:basedOn w:val="104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2"/>
    <w:basedOn w:val="104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2 - Accent 1"/>
    <w:basedOn w:val="104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2 - Accent 2"/>
    <w:basedOn w:val="104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2 - Accent 3"/>
    <w:basedOn w:val="104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2 - Accent 4"/>
    <w:basedOn w:val="104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2 - Accent 5"/>
    <w:basedOn w:val="104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2 - Accent 6"/>
    <w:basedOn w:val="104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3"/>
    <w:basedOn w:val="104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3 - Accent 1"/>
    <w:basedOn w:val="104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3 - Accent 2"/>
    <w:basedOn w:val="104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3 - Accent 3"/>
    <w:basedOn w:val="104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3 - Accent 4"/>
    <w:basedOn w:val="104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3 - Accent 5"/>
    <w:basedOn w:val="104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3 - Accent 6"/>
    <w:basedOn w:val="104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4"/>
    <w:basedOn w:val="104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4 - Accent 1"/>
    <w:basedOn w:val="104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4 - Accent 2"/>
    <w:basedOn w:val="104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4 - Accent 3"/>
    <w:basedOn w:val="104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4 - Accent 4"/>
    <w:basedOn w:val="104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4 - Accent 5"/>
    <w:basedOn w:val="104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Grid Table 4 - Accent 6"/>
    <w:basedOn w:val="104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Grid Table 5 Dark"/>
    <w:basedOn w:val="104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5 Dark- Accent 1"/>
    <w:basedOn w:val="104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Grid Table 5 Dark - Accent 2"/>
    <w:basedOn w:val="104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Grid Table 5 Dark - Accent 3"/>
    <w:basedOn w:val="104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Grid Table 5 Dark- Accent 4"/>
    <w:basedOn w:val="104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Grid Table 5 Dark - Accent 5"/>
    <w:basedOn w:val="104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5 Dark - Accent 6"/>
    <w:basedOn w:val="104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Grid Table 6 Colorful"/>
    <w:basedOn w:val="104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35">
    <w:name w:val="Grid Table 6 Colorful - Accent 1"/>
    <w:basedOn w:val="104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36">
    <w:name w:val="Grid Table 6 Colorful - Accent 2"/>
    <w:basedOn w:val="104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7">
    <w:name w:val="Grid Table 6 Colorful - Accent 3"/>
    <w:basedOn w:val="104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38">
    <w:name w:val="Grid Table 6 Colorful - Accent 4"/>
    <w:basedOn w:val="104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39">
    <w:name w:val="Grid Table 6 Colorful - Accent 5"/>
    <w:basedOn w:val="104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40">
    <w:name w:val="Grid Table 6 Colorful - Accent 6"/>
    <w:basedOn w:val="104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41">
    <w:name w:val="Grid Table 7 Colorful"/>
    <w:basedOn w:val="104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Grid Table 7 Colorful - Accent 1"/>
    <w:basedOn w:val="104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Grid Table 7 Colorful - Accent 2"/>
    <w:basedOn w:val="104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Grid Table 7 Colorful - Accent 3"/>
    <w:basedOn w:val="104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Grid Table 7 Colorful - Accent 4"/>
    <w:basedOn w:val="104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7 Colorful - Accent 5"/>
    <w:basedOn w:val="104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7 Colorful - Accent 6"/>
    <w:basedOn w:val="104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1 Light"/>
    <w:basedOn w:val="104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1 Light - Accent 1"/>
    <w:basedOn w:val="104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1 Light - Accent 2"/>
    <w:basedOn w:val="104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1 Light - Accent 3"/>
    <w:basedOn w:val="104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1 Light - Accent 4"/>
    <w:basedOn w:val="104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1 Light - Accent 5"/>
    <w:basedOn w:val="104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1 Light - Accent 6"/>
    <w:basedOn w:val="104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2"/>
    <w:basedOn w:val="104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2 - Accent 1"/>
    <w:basedOn w:val="104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2 - Accent 2"/>
    <w:basedOn w:val="104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2 - Accent 3"/>
    <w:basedOn w:val="104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2 - Accent 4"/>
    <w:basedOn w:val="104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2 - Accent 5"/>
    <w:basedOn w:val="104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2 - Accent 6"/>
    <w:basedOn w:val="104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3"/>
    <w:basedOn w:val="104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3 - Accent 1"/>
    <w:basedOn w:val="104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3 - Accent 2"/>
    <w:basedOn w:val="104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3 - Accent 3"/>
    <w:basedOn w:val="104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3 - Accent 4"/>
    <w:basedOn w:val="104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3 - Accent 5"/>
    <w:basedOn w:val="104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3 - Accent 6"/>
    <w:basedOn w:val="104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4"/>
    <w:basedOn w:val="104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4 - Accent 1"/>
    <w:basedOn w:val="104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4 - Accent 2"/>
    <w:basedOn w:val="104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4 - Accent 3"/>
    <w:basedOn w:val="104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4 - Accent 4"/>
    <w:basedOn w:val="104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4 - Accent 5"/>
    <w:basedOn w:val="104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4 - Accent 6"/>
    <w:basedOn w:val="104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5 Dark"/>
    <w:basedOn w:val="104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7">
    <w:name w:val="List Table 5 Dark - Accent 1"/>
    <w:basedOn w:val="104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8">
    <w:name w:val="List Table 5 Dark - Accent 2"/>
    <w:basedOn w:val="104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9">
    <w:name w:val="List Table 5 Dark - Accent 3"/>
    <w:basedOn w:val="104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0">
    <w:name w:val="List Table 5 Dark - Accent 4"/>
    <w:basedOn w:val="104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1">
    <w:name w:val="List Table 5 Dark - Accent 5"/>
    <w:basedOn w:val="104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2">
    <w:name w:val="List Table 5 Dark - Accent 6"/>
    <w:basedOn w:val="104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3">
    <w:name w:val="List Table 6 Colorful"/>
    <w:basedOn w:val="104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List Table 6 Colorful - Accent 1"/>
    <w:basedOn w:val="104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List Table 6 Colorful - Accent 2"/>
    <w:basedOn w:val="104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st Table 6 Colorful - Accent 3"/>
    <w:basedOn w:val="104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6 Colorful - Accent 4"/>
    <w:basedOn w:val="104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6 Colorful - Accent 5"/>
    <w:basedOn w:val="104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6 Colorful - Accent 6"/>
    <w:basedOn w:val="104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7 Colorful"/>
    <w:basedOn w:val="104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91">
    <w:name w:val="List Table 7 Colorful - Accent 1"/>
    <w:basedOn w:val="104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992">
    <w:name w:val="List Table 7 Colorful - Accent 2"/>
    <w:basedOn w:val="104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993">
    <w:name w:val="List Table 7 Colorful - Accent 3"/>
    <w:basedOn w:val="104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994">
    <w:name w:val="List Table 7 Colorful - Accent 4"/>
    <w:basedOn w:val="104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995">
    <w:name w:val="List Table 7 Colorful - Accent 5"/>
    <w:basedOn w:val="104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996">
    <w:name w:val="List Table 7 Colorful - Accent 6"/>
    <w:basedOn w:val="104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997">
    <w:name w:val="Lined - Accent"/>
    <w:basedOn w:val="104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Lined - Accent 1"/>
    <w:basedOn w:val="104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name w:val="Lined - Accent 2"/>
    <w:basedOn w:val="104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name w:val="Lined - Accent 3"/>
    <w:basedOn w:val="104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Lined - Accent 4"/>
    <w:basedOn w:val="104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ned - Accent 5"/>
    <w:basedOn w:val="104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ned - Accent 6"/>
    <w:basedOn w:val="104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Bordered &amp; Lined - Accent"/>
    <w:basedOn w:val="104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Bordered &amp; Lined - Accent 1"/>
    <w:basedOn w:val="104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Bordered &amp; Lined - Accent 2"/>
    <w:basedOn w:val="104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Bordered &amp; Lined - Accent 3"/>
    <w:basedOn w:val="104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Bordered &amp; Lined - Accent 4"/>
    <w:basedOn w:val="104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Bordered &amp; Lined - Accent 5"/>
    <w:basedOn w:val="104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Bordered &amp; Lined - Accent 6"/>
    <w:basedOn w:val="104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Bordered"/>
    <w:basedOn w:val="104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Bordered - Accent 1"/>
    <w:basedOn w:val="104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Bordered - Accent 2"/>
    <w:basedOn w:val="104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Bordered - Accent 3"/>
    <w:basedOn w:val="104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Bordered - Accent 4"/>
    <w:basedOn w:val="104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Bordered - Accent 5"/>
    <w:basedOn w:val="104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Bordered - Accent 6"/>
    <w:basedOn w:val="104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18">
    <w:name w:val="footnote text"/>
    <w:basedOn w:val="1035"/>
    <w:link w:val="1019"/>
    <w:uiPriority w:val="99"/>
    <w:semiHidden/>
    <w:unhideWhenUsed/>
    <w:pPr>
      <w:pBdr/>
      <w:spacing w:after="40" w:line="240" w:lineRule="auto"/>
      <w:ind/>
    </w:pPr>
    <w:rPr>
      <w:sz w:val="18"/>
    </w:rPr>
  </w:style>
  <w:style w:type="character" w:styleId="1019">
    <w:name w:val="Footnote Text Char"/>
    <w:link w:val="1018"/>
    <w:uiPriority w:val="99"/>
    <w:pPr>
      <w:pBdr/>
      <w:spacing/>
      <w:ind/>
    </w:pPr>
    <w:rPr>
      <w:sz w:val="18"/>
    </w:rPr>
  </w:style>
  <w:style w:type="character" w:styleId="1020">
    <w:name w:val="footnote reference"/>
    <w:basedOn w:val="1041"/>
    <w:uiPriority w:val="99"/>
    <w:unhideWhenUsed/>
    <w:pPr>
      <w:pBdr/>
      <w:spacing/>
      <w:ind/>
    </w:pPr>
    <w:rPr>
      <w:vertAlign w:val="superscript"/>
    </w:rPr>
  </w:style>
  <w:style w:type="paragraph" w:styleId="1021">
    <w:name w:val="endnote text"/>
    <w:basedOn w:val="1035"/>
    <w:link w:val="1022"/>
    <w:uiPriority w:val="99"/>
    <w:semiHidden/>
    <w:unhideWhenUsed/>
    <w:pPr>
      <w:pBdr/>
      <w:spacing w:after="0" w:line="240" w:lineRule="auto"/>
      <w:ind/>
    </w:pPr>
    <w:rPr>
      <w:sz w:val="20"/>
    </w:rPr>
  </w:style>
  <w:style w:type="character" w:styleId="1022">
    <w:name w:val="Endnote Text Char"/>
    <w:link w:val="1021"/>
    <w:uiPriority w:val="99"/>
    <w:pPr>
      <w:pBdr/>
      <w:spacing/>
      <w:ind/>
    </w:pPr>
    <w:rPr>
      <w:sz w:val="20"/>
    </w:rPr>
  </w:style>
  <w:style w:type="character" w:styleId="1023">
    <w:name w:val="endnote reference"/>
    <w:basedOn w:val="1041"/>
    <w:uiPriority w:val="99"/>
    <w:semiHidden/>
    <w:unhideWhenUsed/>
    <w:pPr>
      <w:pBdr/>
      <w:spacing/>
      <w:ind/>
    </w:pPr>
    <w:rPr>
      <w:vertAlign w:val="superscript"/>
    </w:rPr>
  </w:style>
  <w:style w:type="paragraph" w:styleId="1024">
    <w:name w:val="toc 1"/>
    <w:basedOn w:val="1035"/>
    <w:next w:val="1035"/>
    <w:uiPriority w:val="39"/>
    <w:unhideWhenUsed/>
    <w:pPr>
      <w:pBdr/>
      <w:spacing w:after="57"/>
      <w:ind w:right="0" w:firstLine="0" w:left="0"/>
    </w:pPr>
  </w:style>
  <w:style w:type="paragraph" w:styleId="1025">
    <w:name w:val="toc 2"/>
    <w:basedOn w:val="1035"/>
    <w:next w:val="1035"/>
    <w:uiPriority w:val="39"/>
    <w:unhideWhenUsed/>
    <w:pPr>
      <w:pBdr/>
      <w:spacing w:after="57"/>
      <w:ind w:right="0" w:firstLine="0" w:left="283"/>
    </w:pPr>
  </w:style>
  <w:style w:type="paragraph" w:styleId="1026">
    <w:name w:val="toc 3"/>
    <w:basedOn w:val="1035"/>
    <w:next w:val="1035"/>
    <w:uiPriority w:val="39"/>
    <w:unhideWhenUsed/>
    <w:pPr>
      <w:pBdr/>
      <w:spacing w:after="57"/>
      <w:ind w:right="0" w:firstLine="0" w:left="567"/>
    </w:pPr>
  </w:style>
  <w:style w:type="paragraph" w:styleId="1027">
    <w:name w:val="toc 4"/>
    <w:basedOn w:val="1035"/>
    <w:next w:val="1035"/>
    <w:uiPriority w:val="39"/>
    <w:unhideWhenUsed/>
    <w:pPr>
      <w:pBdr/>
      <w:spacing w:after="57"/>
      <w:ind w:right="0" w:firstLine="0" w:left="850"/>
    </w:pPr>
  </w:style>
  <w:style w:type="paragraph" w:styleId="1028">
    <w:name w:val="toc 5"/>
    <w:basedOn w:val="1035"/>
    <w:next w:val="1035"/>
    <w:uiPriority w:val="39"/>
    <w:unhideWhenUsed/>
    <w:pPr>
      <w:pBdr/>
      <w:spacing w:after="57"/>
      <w:ind w:right="0" w:firstLine="0" w:left="1134"/>
    </w:pPr>
  </w:style>
  <w:style w:type="paragraph" w:styleId="1029">
    <w:name w:val="toc 6"/>
    <w:basedOn w:val="1035"/>
    <w:next w:val="1035"/>
    <w:uiPriority w:val="39"/>
    <w:unhideWhenUsed/>
    <w:pPr>
      <w:pBdr/>
      <w:spacing w:after="57"/>
      <w:ind w:right="0" w:firstLine="0" w:left="1417"/>
    </w:pPr>
  </w:style>
  <w:style w:type="paragraph" w:styleId="1030">
    <w:name w:val="toc 7"/>
    <w:basedOn w:val="1035"/>
    <w:next w:val="1035"/>
    <w:uiPriority w:val="39"/>
    <w:unhideWhenUsed/>
    <w:pPr>
      <w:pBdr/>
      <w:spacing w:after="57"/>
      <w:ind w:right="0" w:firstLine="0" w:left="1701"/>
    </w:pPr>
  </w:style>
  <w:style w:type="paragraph" w:styleId="1031">
    <w:name w:val="toc 8"/>
    <w:basedOn w:val="1035"/>
    <w:next w:val="1035"/>
    <w:uiPriority w:val="39"/>
    <w:unhideWhenUsed/>
    <w:pPr>
      <w:pBdr/>
      <w:spacing w:after="57"/>
      <w:ind w:right="0" w:firstLine="0" w:left="1984"/>
    </w:pPr>
  </w:style>
  <w:style w:type="paragraph" w:styleId="1032">
    <w:name w:val="toc 9"/>
    <w:basedOn w:val="1035"/>
    <w:next w:val="1035"/>
    <w:uiPriority w:val="39"/>
    <w:unhideWhenUsed/>
    <w:pPr>
      <w:pBdr/>
      <w:spacing w:after="57"/>
      <w:ind w:right="0" w:firstLine="0" w:left="2268"/>
    </w:pPr>
  </w:style>
  <w:style w:type="paragraph" w:styleId="1033">
    <w:name w:val="TOC Heading"/>
    <w:uiPriority w:val="39"/>
    <w:unhideWhenUsed/>
    <w:pPr>
      <w:pBdr/>
      <w:spacing/>
      <w:ind/>
    </w:pPr>
  </w:style>
  <w:style w:type="paragraph" w:styleId="1034">
    <w:name w:val="table of figures"/>
    <w:basedOn w:val="1035"/>
    <w:next w:val="1035"/>
    <w:uiPriority w:val="99"/>
    <w:unhideWhenUsed/>
    <w:pPr>
      <w:pBdr/>
      <w:spacing w:after="0" w:afterAutospacing="0"/>
      <w:ind/>
    </w:pPr>
  </w:style>
  <w:style w:type="paragraph" w:styleId="1035" w:default="1">
    <w:name w:val="Normal"/>
    <w:pPr>
      <w:pBdr/>
      <w:spacing/>
      <w:ind/>
    </w:pPr>
    <w:rPr>
      <w:rFonts w:ascii="Ecofont_Spranq_eco_Sans" w:hAnsi="Ecofont_Spranq_eco_Sans" w:cs="Tahoma"/>
      <w:sz w:val="24"/>
      <w:szCs w:val="24"/>
      <w:lang w:eastAsia="pt-BR"/>
    </w:rPr>
  </w:style>
  <w:style w:type="paragraph" w:styleId="1036">
    <w:name w:val="Heading 1"/>
    <w:basedOn w:val="1035"/>
    <w:next w:val="1035"/>
    <w:link w:val="1079"/>
    <w:uiPriority w:val="9"/>
    <w:pPr>
      <w:keepNext w:val="true"/>
      <w:keepLines w:val="true"/>
      <w:pBdr/>
      <w:spacing w:before="480"/>
      <w:ind/>
      <w:outlineLvl w:val="0"/>
    </w:pPr>
    <w:rPr>
      <w:rFonts w:asciiTheme="majorHAnsi" w:hAnsiTheme="majorHAnsi" w:eastAsiaTheme="majorEastAsia" w:cstheme="majorBidi"/>
      <w:b/>
      <w:bCs/>
      <w:color w:val="365f91" w:themeColor="accent1" w:themeShade="BF"/>
      <w:sz w:val="28"/>
      <w:szCs w:val="28"/>
    </w:rPr>
  </w:style>
  <w:style w:type="paragraph" w:styleId="1037">
    <w:name w:val="Heading 2"/>
    <w:basedOn w:val="1035"/>
    <w:next w:val="1035"/>
    <w:link w:val="1048"/>
    <w:pPr>
      <w:keepNext w:val="true"/>
      <w:pBdr/>
      <w:tabs>
        <w:tab w:val="left" w:leader="none" w:pos="1701"/>
      </w:tabs>
      <w:spacing/>
      <w:ind w:right="-1"/>
      <w:jc w:val="center"/>
      <w:outlineLvl w:val="1"/>
    </w:pPr>
    <w:rPr>
      <w:rFonts w:ascii="Times New Roman" w:hAnsi="Times New Roman" w:cs="Times New Roman"/>
      <w:b/>
      <w:color w:val="000000"/>
      <w:szCs w:val="20"/>
    </w:rPr>
  </w:style>
  <w:style w:type="paragraph" w:styleId="1038">
    <w:name w:val="Heading 3"/>
    <w:basedOn w:val="1035"/>
    <w:next w:val="1035"/>
    <w:link w:val="1129"/>
    <w:uiPriority w:val="9"/>
    <w:unhideWhenUsed/>
    <w:qFormat/>
    <w:pPr>
      <w:keepNext w:val="true"/>
      <w:keepLines w:val="true"/>
      <w:pBdr/>
      <w:spacing w:before="40" w:line="259" w:lineRule="auto"/>
      <w:ind/>
      <w:outlineLvl w:val="2"/>
    </w:pPr>
    <w:rPr>
      <w:rFonts w:asciiTheme="majorHAnsi" w:hAnsiTheme="majorHAnsi" w:eastAsiaTheme="majorEastAsia" w:cstheme="majorBidi"/>
      <w:color w:val="243f60" w:themeColor="accent1" w:themeShade="7F"/>
      <w:lang w:eastAsia="en-US"/>
    </w:rPr>
  </w:style>
  <w:style w:type="paragraph" w:styleId="1039">
    <w:name w:val="Heading 4"/>
    <w:basedOn w:val="1035"/>
    <w:next w:val="1035"/>
    <w:link w:val="1073"/>
    <w:semiHidden/>
    <w:unhideWhenUsed/>
    <w:qFormat/>
    <w:pPr>
      <w:keepNext w:val="true"/>
      <w:keepLines w:val="true"/>
      <w:pBdr/>
      <w:spacing w:before="40"/>
      <w:ind/>
      <w:outlineLvl w:val="3"/>
    </w:pPr>
    <w:rPr>
      <w:rFonts w:asciiTheme="majorHAnsi" w:hAnsiTheme="majorHAnsi" w:eastAsiaTheme="majorEastAsia" w:cstheme="majorBidi"/>
      <w:i/>
      <w:iCs/>
      <w:color w:val="365f91" w:themeColor="accent1" w:themeShade="BF"/>
    </w:rPr>
  </w:style>
  <w:style w:type="paragraph" w:styleId="1040">
    <w:name w:val="Heading 6"/>
    <w:basedOn w:val="1035"/>
    <w:next w:val="1035"/>
    <w:link w:val="1130"/>
    <w:uiPriority w:val="9"/>
    <w:semiHidden/>
    <w:unhideWhenUsed/>
    <w:qFormat/>
    <w:pPr>
      <w:keepNext w:val="true"/>
      <w:keepLines w:val="true"/>
      <w:pBdr/>
      <w:spacing w:before="40" w:line="259" w:lineRule="auto"/>
      <w:ind/>
      <w:outlineLvl w:val="5"/>
    </w:pPr>
    <w:rPr>
      <w:rFonts w:asciiTheme="majorHAnsi" w:hAnsiTheme="majorHAnsi" w:eastAsiaTheme="majorEastAsia" w:cstheme="majorBidi"/>
      <w:color w:val="243f60" w:themeColor="accent1" w:themeShade="7F"/>
      <w:sz w:val="22"/>
      <w:szCs w:val="22"/>
      <w:lang w:eastAsia="en-US"/>
    </w:rPr>
  </w:style>
  <w:style w:type="character" w:styleId="1041" w:default="1">
    <w:name w:val="Default Paragraph Font"/>
    <w:uiPriority w:val="1"/>
    <w:semiHidden/>
    <w:unhideWhenUsed/>
    <w:pPr>
      <w:pBdr/>
      <w:spacing/>
      <w:ind/>
    </w:pPr>
  </w:style>
  <w:style w:type="table" w:styleId="1042"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43" w:default="1">
    <w:name w:val="No List"/>
    <w:uiPriority w:val="99"/>
    <w:semiHidden/>
    <w:unhideWhenUsed/>
    <w:pPr>
      <w:pBdr/>
      <w:spacing/>
      <w:ind/>
    </w:pPr>
  </w:style>
  <w:style w:type="paragraph" w:styleId="1044">
    <w:name w:val="List Paragraph"/>
    <w:basedOn w:val="1035"/>
    <w:link w:val="1128"/>
    <w:qFormat/>
    <w:pPr>
      <w:pBdr/>
      <w:spacing/>
      <w:ind w:left="720"/>
      <w:contextualSpacing w:val="true"/>
    </w:pPr>
  </w:style>
  <w:style w:type="paragraph" w:styleId="1045">
    <w:name w:val="Normal (Web)"/>
    <w:basedOn w:val="1035"/>
    <w:uiPriority w:val="99"/>
    <w:pPr>
      <w:pBdr/>
      <w:spacing w:after="100" w:afterAutospacing="1" w:before="100" w:beforeAutospacing="1"/>
      <w:ind/>
    </w:pPr>
    <w:rPr>
      <w:rFonts w:ascii="Times New Roman" w:hAnsi="Times New Roman" w:cs="Times New Roman"/>
    </w:rPr>
  </w:style>
  <w:style w:type="paragraph" w:styleId="1046">
    <w:name w:val="Balloon Text"/>
    <w:basedOn w:val="1035"/>
    <w:link w:val="1047"/>
    <w:uiPriority w:val="99"/>
    <w:pPr>
      <w:pBdr/>
      <w:spacing/>
      <w:ind/>
    </w:pPr>
    <w:rPr>
      <w:rFonts w:ascii="Tahoma" w:hAnsi="Tahoma"/>
      <w:sz w:val="16"/>
      <w:szCs w:val="16"/>
    </w:rPr>
  </w:style>
  <w:style w:type="character" w:styleId="1047" w:customStyle="1">
    <w:name w:val="Texto de balão Char"/>
    <w:link w:val="1046"/>
    <w:uiPriority w:val="99"/>
    <w:pPr>
      <w:pBdr/>
      <w:spacing/>
      <w:ind/>
    </w:pPr>
    <w:rPr>
      <w:rFonts w:ascii="Tahoma" w:hAnsi="Tahoma" w:cs="Tahoma"/>
      <w:sz w:val="16"/>
      <w:szCs w:val="16"/>
    </w:rPr>
  </w:style>
  <w:style w:type="character" w:styleId="1048" w:customStyle="1">
    <w:name w:val="Título 2 Char"/>
    <w:link w:val="1037"/>
    <w:pPr>
      <w:pBdr/>
      <w:spacing/>
      <w:ind/>
    </w:pPr>
    <w:rPr>
      <w:b/>
      <w:color w:val="000000"/>
      <w:sz w:val="24"/>
    </w:rPr>
  </w:style>
  <w:style w:type="paragraph" w:styleId="1049" w:customStyle="1">
    <w:name w:val="Nível 2"/>
    <w:basedOn w:val="1035"/>
    <w:next w:val="1035"/>
    <w:pPr>
      <w:pBdr/>
      <w:spacing w:after="120"/>
      <w:ind/>
      <w:jc w:val="both"/>
    </w:pPr>
    <w:rPr>
      <w:rFonts w:ascii="Arial" w:hAnsi="Arial" w:cs="Times New Roman"/>
      <w:b/>
      <w:szCs w:val="20"/>
    </w:rPr>
  </w:style>
  <w:style w:type="character" w:styleId="1050" w:customStyle="1">
    <w:name w:val="normal__char1"/>
    <w:pPr>
      <w:pBdr/>
      <w:spacing/>
      <w:ind/>
    </w:pPr>
    <w:rPr>
      <w:rFonts w:hint="default" w:ascii="Arial" w:hAnsi="Arial" w:cs="Arial"/>
      <w:strike w:val="0"/>
      <w:sz w:val="24"/>
      <w:szCs w:val="24"/>
      <w:u w:val="none"/>
    </w:rPr>
  </w:style>
  <w:style w:type="character" w:styleId="1051" w:customStyle="1">
    <w:name w:val="apple-style-span"/>
    <w:basedOn w:val="1041"/>
    <w:pPr>
      <w:pBdr/>
      <w:spacing/>
      <w:ind/>
    </w:pPr>
  </w:style>
  <w:style w:type="character" w:styleId="1052">
    <w:name w:val="Hyperlink"/>
    <w:pPr>
      <w:pBdr/>
      <w:spacing/>
      <w:ind/>
    </w:pPr>
    <w:rPr>
      <w:color w:val="000080"/>
      <w:u w:val="single"/>
    </w:rPr>
  </w:style>
  <w:style w:type="paragraph" w:styleId="1053">
    <w:name w:val="Quote"/>
    <w:basedOn w:val="1035"/>
    <w:next w:val="1035"/>
    <w:link w:val="1054"/>
    <w:pPr>
      <w:pBdr>
        <w:top w:val="single" w:color="1f497d" w:sz="4" w:space="1"/>
        <w:left w:val="single" w:color="1f497d" w:sz="4" w:space="4"/>
        <w:bottom w:val="single" w:color="1f497d" w:sz="4" w:space="1"/>
        <w:right w:val="single" w:color="1f497d" w:sz="4" w:space="4"/>
      </w:pBdr>
      <w:shd w:val="clear" w:color="auto" w:fill="ffffcc"/>
      <w:spacing w:before="120"/>
      <w:ind/>
      <w:jc w:val="both"/>
    </w:pPr>
    <w:rPr>
      <w:rFonts w:ascii="Arial" w:hAnsi="Arial" w:eastAsia="Calibri"/>
      <w:i/>
      <w:iCs/>
      <w:color w:val="000000"/>
      <w:sz w:val="20"/>
      <w:lang w:eastAsia="en-US"/>
    </w:rPr>
  </w:style>
  <w:style w:type="character" w:styleId="1054" w:customStyle="1">
    <w:name w:val="Citação Char"/>
    <w:link w:val="1053"/>
    <w:qFormat/>
    <w:pPr>
      <w:pBdr/>
      <w:spacing/>
      <w:ind/>
    </w:pPr>
    <w:rPr>
      <w:rFonts w:ascii="Arial" w:hAnsi="Arial" w:eastAsia="Calibri" w:cs="Tahoma"/>
      <w:i/>
      <w:iCs/>
      <w:color w:val="000000"/>
      <w:szCs w:val="24"/>
      <w:shd w:val="clear" w:color="auto" w:fill="ffffcc"/>
    </w:rPr>
  </w:style>
  <w:style w:type="paragraph" w:styleId="1055">
    <w:name w:val="List Bullet 5"/>
    <w:basedOn w:val="1035"/>
    <w:pPr>
      <w:numPr>
        <w:ilvl w:val="0"/>
        <w:numId w:val="32"/>
      </w:numPr>
      <w:pBdr/>
      <w:spacing/>
      <w:ind/>
      <w:contextualSpacing w:val="true"/>
    </w:pPr>
  </w:style>
  <w:style w:type="paragraph" w:styleId="1056" w:customStyle="1">
    <w:name w:val="Nota explicativa"/>
    <w:basedOn w:val="1053"/>
    <w:link w:val="1057"/>
    <w:pPr>
      <w:pBdr/>
      <w:spacing/>
      <w:ind/>
    </w:pPr>
    <w:rPr>
      <w:szCs w:val="20"/>
    </w:rPr>
  </w:style>
  <w:style w:type="character" w:styleId="1057" w:customStyle="1">
    <w:name w:val="Nota explicativa Char"/>
    <w:basedOn w:val="1054"/>
    <w:link w:val="1056"/>
    <w:pPr>
      <w:pBdr/>
      <w:spacing/>
      <w:ind/>
    </w:pPr>
    <w:rPr>
      <w:rFonts w:ascii="Arial" w:hAnsi="Arial" w:eastAsia="Calibri" w:cs="Tahoma"/>
      <w:i/>
      <w:iCs/>
      <w:color w:val="000000"/>
      <w:szCs w:val="24"/>
      <w:shd w:val="clear" w:color="auto" w:fill="ffffcc"/>
    </w:rPr>
  </w:style>
  <w:style w:type="paragraph" w:styleId="1058">
    <w:name w:val="Header"/>
    <w:basedOn w:val="1035"/>
    <w:link w:val="1059"/>
    <w:uiPriority w:val="99"/>
    <w:pPr>
      <w:pBdr/>
      <w:tabs>
        <w:tab w:val="center" w:leader="none" w:pos="4252"/>
        <w:tab w:val="right" w:leader="none" w:pos="8504"/>
      </w:tabs>
      <w:spacing/>
      <w:ind/>
    </w:pPr>
  </w:style>
  <w:style w:type="character" w:styleId="1059" w:customStyle="1">
    <w:name w:val="Cabeçalho Char"/>
    <w:link w:val="1058"/>
    <w:uiPriority w:val="99"/>
    <w:pPr>
      <w:pBdr/>
      <w:spacing/>
      <w:ind/>
    </w:pPr>
    <w:rPr>
      <w:rFonts w:ascii="Ecofont_Spranq_eco_Sans" w:hAnsi="Ecofont_Spranq_eco_Sans" w:cs="Tahoma"/>
      <w:sz w:val="24"/>
      <w:szCs w:val="24"/>
    </w:rPr>
  </w:style>
  <w:style w:type="paragraph" w:styleId="1060">
    <w:name w:val="Footer"/>
    <w:basedOn w:val="1035"/>
    <w:link w:val="1061"/>
    <w:uiPriority w:val="99"/>
    <w:pPr>
      <w:pBdr/>
      <w:tabs>
        <w:tab w:val="center" w:leader="none" w:pos="4252"/>
        <w:tab w:val="right" w:leader="none" w:pos="8504"/>
      </w:tabs>
      <w:spacing/>
      <w:ind/>
    </w:pPr>
  </w:style>
  <w:style w:type="character" w:styleId="1061" w:customStyle="1">
    <w:name w:val="Rodapé Char"/>
    <w:link w:val="1060"/>
    <w:uiPriority w:val="99"/>
    <w:qFormat/>
    <w:pPr>
      <w:pBdr/>
      <w:spacing/>
      <w:ind/>
    </w:pPr>
    <w:rPr>
      <w:rFonts w:ascii="Ecofont_Spranq_eco_Sans" w:hAnsi="Ecofont_Spranq_eco_Sans" w:cs="Tahoma"/>
      <w:sz w:val="24"/>
      <w:szCs w:val="24"/>
    </w:rPr>
  </w:style>
  <w:style w:type="numbering" w:styleId="1062" w:customStyle="1">
    <w:name w:val="Estilo1"/>
    <w:uiPriority w:val="99"/>
    <w:pPr>
      <w:numPr>
        <w:ilvl w:val="0"/>
        <w:numId w:val="33"/>
      </w:numPr>
      <w:pBdr/>
      <w:spacing/>
      <w:ind/>
    </w:pPr>
  </w:style>
  <w:style w:type="numbering" w:styleId="1063" w:customStyle="1">
    <w:name w:val="Estilo2"/>
    <w:uiPriority w:val="99"/>
    <w:pPr>
      <w:numPr>
        <w:ilvl w:val="0"/>
        <w:numId w:val="34"/>
      </w:numPr>
      <w:pBdr/>
      <w:spacing/>
      <w:ind/>
    </w:pPr>
  </w:style>
  <w:style w:type="numbering" w:styleId="1064" w:customStyle="1">
    <w:name w:val="Estilo3"/>
    <w:uiPriority w:val="99"/>
    <w:pPr>
      <w:numPr>
        <w:ilvl w:val="0"/>
        <w:numId w:val="35"/>
      </w:numPr>
      <w:pBdr/>
      <w:spacing/>
      <w:ind/>
    </w:pPr>
  </w:style>
  <w:style w:type="numbering" w:styleId="1065" w:customStyle="1">
    <w:name w:val="Estilo4"/>
    <w:uiPriority w:val="99"/>
    <w:pPr>
      <w:numPr>
        <w:ilvl w:val="0"/>
        <w:numId w:val="36"/>
      </w:numPr>
      <w:pBdr/>
      <w:spacing/>
      <w:ind/>
    </w:pPr>
  </w:style>
  <w:style w:type="numbering" w:styleId="1066" w:customStyle="1">
    <w:name w:val="Estilo5"/>
    <w:uiPriority w:val="99"/>
    <w:pPr>
      <w:numPr>
        <w:ilvl w:val="0"/>
        <w:numId w:val="37"/>
      </w:numPr>
      <w:pBdr/>
      <w:spacing/>
      <w:ind/>
    </w:pPr>
  </w:style>
  <w:style w:type="numbering" w:styleId="1067" w:customStyle="1">
    <w:name w:val="Estilo6"/>
    <w:uiPriority w:val="99"/>
    <w:pPr>
      <w:numPr>
        <w:ilvl w:val="0"/>
        <w:numId w:val="38"/>
      </w:numPr>
      <w:pBdr/>
      <w:spacing/>
      <w:ind/>
    </w:pPr>
  </w:style>
  <w:style w:type="character" w:styleId="1068">
    <w:name w:val="annotation reference"/>
    <w:basedOn w:val="1041"/>
    <w:unhideWhenUsed/>
    <w:pPr>
      <w:pBdr/>
      <w:spacing/>
      <w:ind/>
    </w:pPr>
    <w:rPr>
      <w:sz w:val="16"/>
      <w:szCs w:val="16"/>
    </w:rPr>
  </w:style>
  <w:style w:type="paragraph" w:styleId="1069">
    <w:name w:val="annotation text"/>
    <w:basedOn w:val="1035"/>
    <w:link w:val="1070"/>
    <w:uiPriority w:val="99"/>
    <w:unhideWhenUsed/>
    <w:pPr>
      <w:pBdr/>
      <w:spacing/>
      <w:ind/>
    </w:pPr>
    <w:rPr>
      <w:sz w:val="20"/>
      <w:szCs w:val="20"/>
    </w:rPr>
  </w:style>
  <w:style w:type="character" w:styleId="1070" w:customStyle="1">
    <w:name w:val="Texto de comentário Char"/>
    <w:basedOn w:val="1041"/>
    <w:link w:val="1069"/>
    <w:uiPriority w:val="99"/>
    <w:qFormat/>
    <w:pPr>
      <w:pBdr/>
      <w:spacing/>
      <w:ind/>
    </w:pPr>
    <w:rPr>
      <w:rFonts w:ascii="Ecofont_Spranq_eco_Sans" w:hAnsi="Ecofont_Spranq_eco_Sans" w:cs="Tahoma"/>
      <w:lang w:eastAsia="pt-BR"/>
    </w:rPr>
  </w:style>
  <w:style w:type="paragraph" w:styleId="1071">
    <w:name w:val="annotation subject"/>
    <w:basedOn w:val="1069"/>
    <w:next w:val="1069"/>
    <w:link w:val="1072"/>
    <w:uiPriority w:val="99"/>
    <w:semiHidden/>
    <w:unhideWhenUsed/>
    <w:pPr>
      <w:pBdr/>
      <w:spacing/>
      <w:ind/>
    </w:pPr>
    <w:rPr>
      <w:b/>
      <w:bCs/>
    </w:rPr>
  </w:style>
  <w:style w:type="character" w:styleId="1072" w:customStyle="1">
    <w:name w:val="Assunto do comentário Char"/>
    <w:basedOn w:val="1070"/>
    <w:link w:val="1071"/>
    <w:uiPriority w:val="99"/>
    <w:semiHidden/>
    <w:pPr>
      <w:pBdr/>
      <w:spacing/>
      <w:ind/>
    </w:pPr>
    <w:rPr>
      <w:rFonts w:ascii="Ecofont_Spranq_eco_Sans" w:hAnsi="Ecofont_Spranq_eco_Sans" w:cs="Tahoma"/>
      <w:b/>
      <w:bCs/>
      <w:lang w:eastAsia="pt-BR"/>
    </w:rPr>
  </w:style>
  <w:style w:type="character" w:styleId="1073" w:customStyle="1">
    <w:name w:val="Título 4 Char"/>
    <w:basedOn w:val="1041"/>
    <w:link w:val="1039"/>
    <w:pPr>
      <w:pBdr/>
      <w:spacing/>
      <w:ind/>
    </w:pPr>
    <w:rPr>
      <w:rFonts w:asciiTheme="majorHAnsi" w:hAnsiTheme="majorHAnsi" w:eastAsiaTheme="majorEastAsia" w:cstheme="majorBidi"/>
      <w:i/>
      <w:iCs/>
      <w:color w:val="365f91" w:themeColor="accent1" w:themeShade="BF"/>
      <w:sz w:val="24"/>
      <w:szCs w:val="24"/>
      <w:lang w:eastAsia="pt-BR"/>
    </w:rPr>
  </w:style>
  <w:style w:type="paragraph" w:styleId="1074" w:customStyle="1">
    <w:name w:val="Nivel 01"/>
    <w:basedOn w:val="1036"/>
    <w:next w:val="1035"/>
    <w:link w:val="1078"/>
    <w:qFormat/>
    <w:pPr>
      <w:numPr>
        <w:ilvl w:val="0"/>
        <w:numId w:val="39"/>
      </w:numPr>
      <w:pBdr/>
      <w:tabs>
        <w:tab w:val="left" w:leader="none" w:pos="567"/>
      </w:tabs>
      <w:spacing w:after="120" w:before="240" w:line="276" w:lineRule="auto"/>
      <w:ind w:firstLine="0" w:left="0"/>
      <w:jc w:val="both"/>
    </w:pPr>
    <w:rPr>
      <w:rFonts w:ascii="Arial" w:hAnsi="Arial" w:cs="Arial"/>
      <w:color w:val="auto"/>
      <w:sz w:val="20"/>
      <w:szCs w:val="20"/>
    </w:rPr>
  </w:style>
  <w:style w:type="paragraph" w:styleId="1075" w:customStyle="1">
    <w:name w:val="Nivel_01_Titulo"/>
    <w:basedOn w:val="1074"/>
    <w:link w:val="1080"/>
    <w:pPr>
      <w:pBdr/>
      <w:spacing/>
      <w:ind/>
      <w:jc w:val="left"/>
    </w:pPr>
    <w:rPr>
      <w:rFonts w:cstheme="majorBidi"/>
      <w:color w:val="000000" w:themeColor="text1"/>
      <w:spacing w:val="5"/>
      <w:sz w:val="52"/>
      <w:szCs w:val="52"/>
    </w:rPr>
  </w:style>
  <w:style w:type="paragraph" w:styleId="1076">
    <w:name w:val="Title"/>
    <w:basedOn w:val="1035"/>
    <w:next w:val="1035"/>
    <w:link w:val="1077"/>
    <w:pPr>
      <w:pBdr>
        <w:bottom w:val="single" w:color="4f81bd" w:themeColor="accent1" w:sz="8" w:space="4"/>
      </w:pBdr>
      <w:spacing w:after="300"/>
      <w:ind/>
      <w:contextualSpacing w:val="true"/>
    </w:pPr>
    <w:rPr>
      <w:rFonts w:asciiTheme="majorHAnsi" w:hAnsiTheme="majorHAnsi" w:eastAsiaTheme="majorEastAsia" w:cstheme="majorBidi"/>
      <w:color w:val="17365d" w:themeColor="text2" w:themeShade="BF"/>
      <w:spacing w:val="5"/>
      <w:sz w:val="52"/>
      <w:szCs w:val="52"/>
    </w:rPr>
  </w:style>
  <w:style w:type="character" w:styleId="1077" w:customStyle="1">
    <w:name w:val="Título Char"/>
    <w:basedOn w:val="1041"/>
    <w:link w:val="1076"/>
    <w:pPr>
      <w:pBdr/>
      <w:spacing/>
      <w:ind/>
    </w:pPr>
    <w:rPr>
      <w:rFonts w:asciiTheme="majorHAnsi" w:hAnsiTheme="majorHAnsi" w:eastAsiaTheme="majorEastAsia" w:cstheme="majorBidi"/>
      <w:color w:val="17365d" w:themeColor="text2" w:themeShade="BF"/>
      <w:spacing w:val="5"/>
      <w:sz w:val="52"/>
      <w:szCs w:val="52"/>
      <w:lang w:eastAsia="pt-BR"/>
    </w:rPr>
  </w:style>
  <w:style w:type="character" w:styleId="1078" w:customStyle="1">
    <w:name w:val="Nivel 01 Char"/>
    <w:basedOn w:val="1077"/>
    <w:link w:val="1074"/>
    <w:pPr>
      <w:pBdr/>
      <w:spacing/>
      <w:ind/>
    </w:pPr>
    <w:rPr>
      <w:rFonts w:ascii="Arial" w:hAnsi="Arial" w:cs="Arial" w:eastAsiaTheme="majorEastAsia"/>
      <w:b/>
      <w:bCs/>
      <w:color w:val="17365d" w:themeColor="text2" w:themeShade="BF"/>
      <w:spacing w:val="5"/>
      <w:sz w:val="52"/>
      <w:szCs w:val="52"/>
      <w:lang w:eastAsia="pt-BR"/>
    </w:rPr>
  </w:style>
  <w:style w:type="character" w:styleId="1079" w:customStyle="1">
    <w:name w:val="Título 1 Char"/>
    <w:basedOn w:val="1041"/>
    <w:link w:val="1036"/>
    <w:uiPriority w:val="9"/>
    <w:pPr>
      <w:pBdr/>
      <w:spacing/>
      <w:ind/>
    </w:pPr>
    <w:rPr>
      <w:rFonts w:asciiTheme="majorHAnsi" w:hAnsiTheme="majorHAnsi" w:eastAsiaTheme="majorEastAsia" w:cstheme="majorBidi"/>
      <w:b/>
      <w:bCs/>
      <w:color w:val="365f91" w:themeColor="accent1" w:themeShade="BF"/>
      <w:sz w:val="28"/>
      <w:szCs w:val="28"/>
      <w:lang w:eastAsia="pt-BR"/>
    </w:rPr>
  </w:style>
  <w:style w:type="character" w:styleId="1080" w:customStyle="1">
    <w:name w:val="Nivel_01_Titulo Char"/>
    <w:basedOn w:val="1078"/>
    <w:link w:val="1075"/>
    <w:qFormat/>
    <w:pPr>
      <w:pBdr/>
      <w:spacing/>
      <w:ind/>
    </w:pPr>
    <w:rPr>
      <w:rFonts w:ascii="Arial" w:hAnsi="Arial" w:eastAsiaTheme="majorEastAsia" w:cstheme="majorBidi"/>
      <w:b/>
      <w:bCs/>
      <w:color w:val="000000" w:themeColor="text1"/>
      <w:spacing w:val="5"/>
      <w:sz w:val="52"/>
      <w:szCs w:val="52"/>
      <w:lang w:eastAsia="pt-BR"/>
    </w:rPr>
  </w:style>
  <w:style w:type="table" w:styleId="1081">
    <w:name w:val="Table Grid"/>
    <w:basedOn w:val="1042"/>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82" w:customStyle="1">
    <w:name w:val="PADRÃO"/>
    <w:pPr>
      <w:keepNext w:val="true"/>
      <w:widowControl w:val="false"/>
      <w:pBdr/>
      <w:shd w:val="clear" w:color="auto" w:fill="ffffff"/>
      <w:spacing w:after="119" w:before="119" w:line="276" w:lineRule="auto"/>
      <w:ind w:firstLine="567"/>
      <w:jc w:val="both"/>
    </w:pPr>
    <w:rPr>
      <w:rFonts w:ascii="Ecofont_Spranq_eco_Sans" w:hAnsi="Ecofont_Spranq_eco_Sans" w:eastAsia="WenQuanYi Micro Hei" w:cs="Lohit Hindi"/>
      <w:szCs w:val="24"/>
      <w:lang w:eastAsia="zh-CN" w:bidi="hi-IN"/>
    </w:rPr>
  </w:style>
  <w:style w:type="character" w:styleId="1083" w:customStyle="1">
    <w:name w:val="Quote Char"/>
    <w:basedOn w:val="1041"/>
    <w:link w:val="1084"/>
    <w:pPr>
      <w:pBdr/>
      <w:spacing/>
      <w:ind/>
    </w:pPr>
    <w:rPr>
      <w:rFonts w:ascii="Ecofont_Spranq_eco_Sans" w:hAnsi="Ecofont_Spranq_eco_Sans" w:eastAsia="Calibri" w:cs="Tahoma"/>
      <w:i/>
      <w:iCs/>
      <w:color w:val="000000"/>
      <w:shd w:val="clear" w:color="auto" w:fill="ffffcc"/>
    </w:rPr>
  </w:style>
  <w:style w:type="paragraph" w:styleId="1084" w:customStyle="1">
    <w:name w:val="Citação1"/>
    <w:basedOn w:val="1035"/>
    <w:next w:val="1035"/>
    <w:link w:val="1083"/>
    <w:pPr>
      <w:pBdr>
        <w:top w:val="single" w:color="1f497d" w:sz="4" w:space="1"/>
        <w:left w:val="single" w:color="1f497d" w:sz="4" w:space="4"/>
        <w:bottom w:val="single" w:color="1f497d" w:sz="4" w:space="1"/>
        <w:right w:val="single" w:color="1f497d" w:sz="4" w:space="4"/>
      </w:pBdr>
      <w:shd w:val="clear" w:color="auto" w:fill="ffffcc"/>
      <w:spacing w:before="120"/>
      <w:ind/>
      <w:jc w:val="both"/>
    </w:pPr>
    <w:rPr>
      <w:rFonts w:eastAsia="Calibri"/>
      <w:i/>
      <w:iCs/>
      <w:color w:val="000000"/>
      <w:sz w:val="20"/>
      <w:szCs w:val="20"/>
      <w:lang w:eastAsia="en-US"/>
    </w:rPr>
  </w:style>
  <w:style w:type="paragraph" w:styleId="1085" w:customStyle="1">
    <w:name w:val="paragraph"/>
    <w:basedOn w:val="1035"/>
    <w:pPr>
      <w:pBdr/>
      <w:spacing w:after="100" w:afterAutospacing="1" w:before="100" w:beforeAutospacing="1"/>
      <w:ind/>
    </w:pPr>
    <w:rPr>
      <w:rFonts w:ascii="Times New Roman" w:hAnsi="Times New Roman" w:eastAsia="Times New Roman" w:cs="Times New Roman"/>
    </w:rPr>
  </w:style>
  <w:style w:type="character" w:styleId="1086" w:customStyle="1">
    <w:name w:val="normaltextrun"/>
    <w:basedOn w:val="1041"/>
    <w:pPr>
      <w:pBdr/>
      <w:spacing/>
      <w:ind/>
    </w:pPr>
  </w:style>
  <w:style w:type="character" w:styleId="1087" w:customStyle="1">
    <w:name w:val="eop"/>
    <w:basedOn w:val="1041"/>
    <w:pPr>
      <w:pBdr/>
      <w:spacing/>
      <w:ind/>
    </w:pPr>
  </w:style>
  <w:style w:type="character" w:styleId="1088" w:customStyle="1">
    <w:name w:val="spellingerror"/>
    <w:basedOn w:val="1041"/>
    <w:pPr>
      <w:pBdr/>
      <w:spacing/>
      <w:ind/>
    </w:pPr>
  </w:style>
  <w:style w:type="paragraph" w:styleId="1089">
    <w:name w:val="Body Text"/>
    <w:basedOn w:val="1035"/>
    <w:link w:val="1090"/>
    <w:uiPriority w:val="99"/>
    <w:unhideWhenUsed/>
    <w:pPr>
      <w:pBdr/>
      <w:spacing w:after="100" w:afterAutospacing="1" w:before="100" w:beforeAutospacing="1"/>
      <w:ind/>
    </w:pPr>
    <w:rPr>
      <w:rFonts w:ascii="Times New Roman" w:hAnsi="Times New Roman" w:eastAsia="Times New Roman" w:cs="Times New Roman"/>
    </w:rPr>
  </w:style>
  <w:style w:type="character" w:styleId="1090" w:customStyle="1">
    <w:name w:val="Corpo de texto Char"/>
    <w:basedOn w:val="1041"/>
    <w:link w:val="1089"/>
    <w:uiPriority w:val="99"/>
    <w:pPr>
      <w:pBdr/>
      <w:spacing/>
      <w:ind/>
    </w:pPr>
    <w:rPr>
      <w:rFonts w:eastAsia="Times New Roman"/>
      <w:sz w:val="24"/>
      <w:szCs w:val="24"/>
      <w:lang w:eastAsia="pt-BR"/>
    </w:rPr>
  </w:style>
  <w:style w:type="paragraph" w:styleId="1091" w:customStyle="1">
    <w:name w:val="Nivel1"/>
    <w:basedOn w:val="1036"/>
    <w:link w:val="1092"/>
    <w:pPr>
      <w:pBdr/>
      <w:spacing w:line="276" w:lineRule="auto"/>
      <w:ind w:hanging="357" w:left="357"/>
      <w:jc w:val="both"/>
    </w:pPr>
    <w:rPr>
      <w:rFonts w:ascii="Arial" w:hAnsi="Arial" w:cs="Arial"/>
      <w:bCs w:val="0"/>
      <w:color w:val="000000"/>
    </w:rPr>
  </w:style>
  <w:style w:type="character" w:styleId="1092" w:customStyle="1">
    <w:name w:val="Nivel1 Char"/>
    <w:basedOn w:val="1079"/>
    <w:link w:val="1091"/>
    <w:pPr>
      <w:pBdr/>
      <w:spacing/>
      <w:ind/>
    </w:pPr>
    <w:rPr>
      <w:rFonts w:ascii="Arial" w:hAnsi="Arial" w:cs="Arial" w:eastAsiaTheme="majorEastAsia"/>
      <w:b/>
      <w:bCs w:val="0"/>
      <w:color w:val="000000"/>
      <w:sz w:val="28"/>
      <w:szCs w:val="28"/>
      <w:lang w:eastAsia="pt-BR"/>
    </w:rPr>
  </w:style>
  <w:style w:type="paragraph" w:styleId="1093" w:customStyle="1">
    <w:name w:val="Parágrafo da Lista1"/>
    <w:basedOn w:val="1035"/>
    <w:pPr>
      <w:pBdr/>
      <w:spacing/>
      <w:ind w:left="720"/>
    </w:pPr>
    <w:rPr>
      <w:rFonts w:eastAsia="Times New Roman" w:cs="Ecofont_Spranq_eco_Sans"/>
    </w:rPr>
  </w:style>
  <w:style w:type="paragraph" w:styleId="1094" w:customStyle="1">
    <w:name w:val="Nivel 2"/>
    <w:basedOn w:val="1035"/>
    <w:link w:val="1122"/>
    <w:qFormat/>
    <w:pPr>
      <w:numPr>
        <w:ilvl w:val="1"/>
        <w:numId w:val="31"/>
      </w:numPr>
      <w:pBdr/>
      <w:spacing w:after="120" w:before="120" w:line="276" w:lineRule="auto"/>
      <w:ind w:firstLine="0" w:left="0"/>
      <w:jc w:val="both"/>
    </w:pPr>
    <w:rPr>
      <w:rFonts w:ascii="Arial" w:hAnsi="Arial" w:eastAsia="Arial" w:cs="Arial"/>
      <w:color w:val="000000"/>
      <w:sz w:val="20"/>
      <w:szCs w:val="20"/>
    </w:rPr>
  </w:style>
  <w:style w:type="paragraph" w:styleId="1095" w:customStyle="1">
    <w:name w:val="Nivel 1"/>
    <w:basedOn w:val="1094"/>
    <w:next w:val="1094"/>
    <w:pPr>
      <w:numPr>
        <w:ilvl w:val="0"/>
        <w:numId w:val="0"/>
      </w:numPr>
      <w:pBdr/>
      <w:spacing/>
      <w:ind w:hanging="360" w:left="360"/>
    </w:pPr>
    <w:rPr>
      <w:b/>
    </w:rPr>
  </w:style>
  <w:style w:type="paragraph" w:styleId="1096" w:customStyle="1">
    <w:name w:val="Nivel 3"/>
    <w:basedOn w:val="1035"/>
    <w:link w:val="1148"/>
    <w:qFormat/>
    <w:pPr>
      <w:numPr>
        <w:ilvl w:val="2"/>
        <w:numId w:val="31"/>
      </w:numPr>
      <w:pBdr/>
      <w:spacing w:after="120" w:before="120" w:line="276" w:lineRule="auto"/>
      <w:ind w:firstLine="0" w:left="284"/>
      <w:jc w:val="both"/>
    </w:pPr>
    <w:rPr>
      <w:rFonts w:ascii="Arial" w:hAnsi="Arial" w:cs="Arial"/>
      <w:color w:val="000000"/>
      <w:sz w:val="20"/>
      <w:szCs w:val="20"/>
    </w:rPr>
  </w:style>
  <w:style w:type="paragraph" w:styleId="1097" w:customStyle="1">
    <w:name w:val="Nivel 4"/>
    <w:basedOn w:val="1096"/>
    <w:link w:val="1099"/>
    <w:qFormat/>
    <w:pPr>
      <w:numPr>
        <w:ilvl w:val="3"/>
      </w:numPr>
      <w:pBdr/>
      <w:spacing/>
      <w:ind w:firstLine="0" w:left="567"/>
    </w:pPr>
    <w:rPr>
      <w:color w:val="auto"/>
    </w:rPr>
  </w:style>
  <w:style w:type="paragraph" w:styleId="1098" w:customStyle="1">
    <w:name w:val="Nivel 5"/>
    <w:basedOn w:val="1097"/>
    <w:qFormat/>
    <w:pPr>
      <w:numPr>
        <w:ilvl w:val="4"/>
      </w:numPr>
      <w:pBdr/>
      <w:spacing/>
      <w:ind w:firstLine="0" w:left="851"/>
    </w:pPr>
  </w:style>
  <w:style w:type="character" w:styleId="1099" w:customStyle="1">
    <w:name w:val="Nivel 4 Char"/>
    <w:basedOn w:val="1041"/>
    <w:link w:val="1097"/>
    <w:pPr>
      <w:pBdr/>
      <w:spacing/>
      <w:ind/>
    </w:pPr>
    <w:rPr>
      <w:rFonts w:ascii="Arial" w:hAnsi="Arial" w:cs="Arial"/>
      <w:lang w:eastAsia="pt-BR"/>
    </w:rPr>
  </w:style>
  <w:style w:type="paragraph" w:styleId="1100" w:customStyle="1">
    <w:name w:val="textbody"/>
    <w:basedOn w:val="1035"/>
    <w:pPr>
      <w:pBdr/>
      <w:spacing w:after="100" w:afterAutospacing="1" w:before="100" w:beforeAutospacing="1"/>
      <w:ind/>
    </w:pPr>
    <w:rPr>
      <w:rFonts w:ascii="Times New Roman" w:hAnsi="Times New Roman" w:eastAsia="Times New Roman" w:cs="Times New Roman"/>
    </w:rPr>
  </w:style>
  <w:style w:type="paragraph" w:styleId="1101" w:customStyle="1">
    <w:name w:val="em_0020ementa"/>
    <w:basedOn w:val="1035"/>
    <w:pPr>
      <w:pBdr/>
      <w:spacing/>
      <w:ind w:left="4160"/>
      <w:jc w:val="both"/>
    </w:pPr>
    <w:rPr>
      <w:rFonts w:ascii="Times New Roman" w:hAnsi="Times New Roman" w:eastAsia="Times New Roman" w:cs="Times New Roman"/>
      <w:sz w:val="28"/>
      <w:szCs w:val="28"/>
    </w:rPr>
  </w:style>
  <w:style w:type="character" w:styleId="1102" w:customStyle="1">
    <w:name w:val="cp_0020corpodespacho__char1"/>
    <w:pPr>
      <w:pBdr/>
      <w:spacing/>
      <w:ind/>
    </w:pPr>
    <w:rPr>
      <w:rFonts w:hint="default" w:ascii="Times New Roman" w:hAnsi="Times New Roman" w:cs="Times New Roman"/>
      <w:strike w:val="0"/>
      <w:sz w:val="26"/>
      <w:szCs w:val="26"/>
      <w:u w:val="none"/>
    </w:rPr>
  </w:style>
  <w:style w:type="character" w:styleId="1103" w:customStyle="1">
    <w:name w:val="em_0020ementa__char1"/>
    <w:pPr>
      <w:pBdr/>
      <w:spacing/>
      <w:ind/>
    </w:pPr>
    <w:rPr>
      <w:rFonts w:hint="default" w:ascii="Times New Roman" w:hAnsi="Times New Roman" w:cs="Times New Roman"/>
      <w:strike w:val="0"/>
      <w:sz w:val="28"/>
      <w:szCs w:val="28"/>
      <w:u w:val="none"/>
    </w:rPr>
  </w:style>
  <w:style w:type="paragraph" w:styleId="1104">
    <w:name w:val="Revision"/>
    <w:hidden/>
    <w:uiPriority w:val="99"/>
    <w:semiHidden/>
    <w:pPr>
      <w:pBdr/>
      <w:spacing/>
      <w:ind/>
    </w:pPr>
    <w:rPr>
      <w:rFonts w:ascii="Ecofont_Spranq_eco_Sans" w:hAnsi="Ecofont_Spranq_eco_Sans" w:eastAsia="Times New Roman" w:cs="Tahoma"/>
      <w:sz w:val="24"/>
      <w:szCs w:val="24"/>
      <w:lang w:eastAsia="pt-BR"/>
    </w:rPr>
  </w:style>
  <w:style w:type="character" w:styleId="1105">
    <w:name w:val="Strong"/>
    <w:basedOn w:val="1041"/>
    <w:uiPriority w:val="22"/>
    <w:pPr>
      <w:pBdr/>
      <w:spacing/>
      <w:ind/>
    </w:pPr>
    <w:rPr>
      <w:b/>
      <w:bCs/>
    </w:rPr>
  </w:style>
  <w:style w:type="character" w:styleId="1106">
    <w:name w:val="Emphasis"/>
    <w:basedOn w:val="1041"/>
    <w:uiPriority w:val="20"/>
    <w:pPr>
      <w:pBdr/>
      <w:spacing/>
      <w:ind/>
    </w:pPr>
    <w:rPr>
      <w:i/>
      <w:iCs/>
    </w:rPr>
  </w:style>
  <w:style w:type="character" w:styleId="1107" w:customStyle="1">
    <w:name w:val="Manoel"/>
    <w:pPr>
      <w:pBdr/>
      <w:spacing/>
      <w:ind/>
    </w:pPr>
    <w:rPr>
      <w:rFonts w:ascii="Arial" w:hAnsi="Arial" w:cs="Arial"/>
      <w:color w:val="7030a0"/>
      <w:sz w:val="20"/>
    </w:rPr>
  </w:style>
  <w:style w:type="character" w:styleId="1108" w:customStyle="1">
    <w:name w:val="ListLabel 12"/>
    <w:pPr>
      <w:pBdr/>
      <w:spacing/>
      <w:ind/>
    </w:pPr>
    <w:rPr>
      <w:b/>
    </w:rPr>
  </w:style>
  <w:style w:type="paragraph" w:styleId="1109" w:customStyle="1">
    <w:name w:val="texto1"/>
    <w:basedOn w:val="1035"/>
    <w:pPr>
      <w:pBdr/>
      <w:spacing w:after="100" w:afterAutospacing="1" w:before="100" w:beforeAutospacing="1"/>
      <w:ind/>
    </w:pPr>
    <w:rPr>
      <w:rFonts w:ascii="Times New Roman" w:hAnsi="Times New Roman" w:eastAsia="Times New Roman" w:cs="Times New Roman"/>
    </w:rPr>
  </w:style>
  <w:style w:type="paragraph" w:styleId="1110" w:customStyle="1">
    <w:name w:val="Grade Colorida - Ênfase 11"/>
    <w:basedOn w:val="1035"/>
    <w:next w:val="1035"/>
    <w:link w:val="1111"/>
    <w:uiPriority w:val="29"/>
    <w:pPr>
      <w:pBdr>
        <w:top w:val="single" w:color="1f497d" w:sz="4" w:space="1"/>
        <w:left w:val="single" w:color="1f497d" w:sz="4" w:space="4"/>
        <w:bottom w:val="single" w:color="1f497d" w:sz="4" w:space="1"/>
        <w:right w:val="single" w:color="1f497d" w:sz="4" w:space="4"/>
      </w:pBdr>
      <w:shd w:val="clear" w:color="auto" w:fill="ffffcc"/>
      <w:spacing w:before="120"/>
      <w:ind/>
      <w:jc w:val="both"/>
    </w:pPr>
    <w:rPr>
      <w:rFonts w:ascii="Arial" w:hAnsi="Arial" w:eastAsia="Calibri" w:cs="Times New Roman"/>
      <w:i/>
      <w:iCs/>
      <w:color w:val="000000"/>
      <w:sz w:val="20"/>
      <w:lang w:eastAsia="en-US"/>
    </w:rPr>
  </w:style>
  <w:style w:type="character" w:styleId="1111" w:customStyle="1">
    <w:name w:val="Grade Colorida - Ênfase 1 Char"/>
    <w:link w:val="1110"/>
    <w:uiPriority w:val="29"/>
    <w:pPr>
      <w:pBdr/>
      <w:spacing/>
      <w:ind/>
    </w:pPr>
    <w:rPr>
      <w:rFonts w:ascii="Arial" w:hAnsi="Arial" w:eastAsia="Calibri"/>
      <w:i/>
      <w:iCs/>
      <w:color w:val="000000"/>
      <w:szCs w:val="24"/>
      <w:shd w:val="clear" w:color="auto" w:fill="ffffcc"/>
    </w:rPr>
  </w:style>
  <w:style w:type="paragraph" w:styleId="1112" w:customStyle="1">
    <w:name w:val="x_western"/>
    <w:basedOn w:val="1035"/>
    <w:pPr>
      <w:pBdr/>
      <w:spacing w:after="100" w:afterAutospacing="1" w:before="100" w:beforeAutospacing="1"/>
      <w:ind/>
    </w:pPr>
    <w:rPr>
      <w:rFonts w:ascii="Times New Roman" w:hAnsi="Times New Roman" w:eastAsia="Times New Roman" w:cs="Times New Roman"/>
    </w:rPr>
  </w:style>
  <w:style w:type="paragraph" w:styleId="1113" w:customStyle="1">
    <w:name w:val="TCU - Ac - item 9 - §§_0"/>
    <w:basedOn w:val="1035"/>
    <w:pPr>
      <w:pBdr/>
      <w:spacing/>
      <w:ind w:firstLine="1134"/>
      <w:jc w:val="both"/>
    </w:pPr>
    <w:rPr>
      <w:rFonts w:ascii="Times New Roman" w:hAnsi="Times New Roman" w:eastAsia="Times New Roman" w:cs="Times New Roman"/>
      <w:szCs w:val="22"/>
      <w:lang w:eastAsia="en-US"/>
    </w:rPr>
  </w:style>
  <w:style w:type="paragraph" w:styleId="1114" w:customStyle="1">
    <w:name w:val="Normal_1"/>
    <w:pPr>
      <w:pBdr/>
      <w:spacing/>
      <w:ind/>
    </w:pPr>
    <w:rPr>
      <w:rFonts w:eastAsia="Times New Roman"/>
      <w:sz w:val="24"/>
      <w:szCs w:val="22"/>
    </w:rPr>
  </w:style>
  <w:style w:type="paragraph" w:styleId="1115" w:customStyle="1">
    <w:name w:val="tcu_-__ac_-_item_9_-_1ª_linha"/>
    <w:basedOn w:val="1035"/>
    <w:pPr>
      <w:pBdr/>
      <w:spacing w:after="100" w:afterAutospacing="1" w:before="100" w:beforeAutospacing="1"/>
      <w:ind/>
    </w:pPr>
    <w:rPr>
      <w:rFonts w:ascii="Times New Roman" w:hAnsi="Times New Roman" w:eastAsia="Times New Roman" w:cs="Times New Roman"/>
    </w:rPr>
  </w:style>
  <w:style w:type="paragraph" w:styleId="1116" w:customStyle="1">
    <w:name w:val="texto_justificado_recuo_primeira_linha"/>
    <w:basedOn w:val="1035"/>
    <w:pPr>
      <w:pBdr/>
      <w:spacing w:after="100" w:afterAutospacing="1" w:before="100" w:beforeAutospacing="1"/>
      <w:ind/>
    </w:pPr>
    <w:rPr>
      <w:rFonts w:ascii="Times New Roman" w:hAnsi="Times New Roman" w:eastAsia="Times New Roman" w:cs="Times New Roman"/>
    </w:rPr>
  </w:style>
  <w:style w:type="character" w:styleId="1117" w:customStyle="1">
    <w:name w:val="highlight"/>
    <w:basedOn w:val="1041"/>
    <w:pPr>
      <w:pBdr/>
      <w:spacing/>
      <w:ind/>
    </w:pPr>
  </w:style>
  <w:style w:type="paragraph" w:styleId="1118" w:customStyle="1">
    <w:name w:val="texto_justificado"/>
    <w:basedOn w:val="1035"/>
    <w:pPr>
      <w:pBdr/>
      <w:spacing w:after="100" w:afterAutospacing="1" w:before="100" w:beforeAutospacing="1"/>
      <w:ind/>
    </w:pPr>
    <w:rPr>
      <w:rFonts w:ascii="Times New Roman" w:hAnsi="Times New Roman" w:eastAsia="Times New Roman" w:cs="Times New Roman"/>
    </w:rPr>
  </w:style>
  <w:style w:type="character" w:styleId="1119">
    <w:name w:val="FollowedHyperlink"/>
    <w:basedOn w:val="1041"/>
    <w:uiPriority w:val="99"/>
    <w:semiHidden/>
    <w:unhideWhenUsed/>
    <w:pPr>
      <w:pBdr/>
      <w:spacing/>
      <w:ind/>
    </w:pPr>
    <w:rPr>
      <w:color w:val="800080" w:themeColor="followedHyperlink"/>
      <w:u w:val="single"/>
    </w:rPr>
  </w:style>
  <w:style w:type="character" w:styleId="1120" w:customStyle="1">
    <w:name w:val="Menção Pendente1"/>
    <w:basedOn w:val="1041"/>
    <w:uiPriority w:val="99"/>
    <w:semiHidden/>
    <w:unhideWhenUsed/>
    <w:pPr>
      <w:pBdr/>
      <w:spacing/>
      <w:ind/>
    </w:pPr>
    <w:rPr>
      <w:color w:val="605e5c"/>
      <w:shd w:val="clear" w:color="auto" w:fill="e1dfdd"/>
    </w:rPr>
  </w:style>
  <w:style w:type="character" w:styleId="1121" w:customStyle="1">
    <w:name w:val="Menção Pendente2"/>
    <w:basedOn w:val="1041"/>
    <w:uiPriority w:val="99"/>
    <w:semiHidden/>
    <w:unhideWhenUsed/>
    <w:pPr>
      <w:pBdr/>
      <w:spacing/>
      <w:ind/>
    </w:pPr>
    <w:rPr>
      <w:color w:val="605e5c"/>
      <w:shd w:val="clear" w:color="auto" w:fill="e1dfdd"/>
    </w:rPr>
  </w:style>
  <w:style w:type="character" w:styleId="1122" w:customStyle="1">
    <w:name w:val="Nivel 2 Char"/>
    <w:basedOn w:val="1041"/>
    <w:link w:val="1094"/>
    <w:pPr>
      <w:pBdr/>
      <w:spacing/>
      <w:ind/>
    </w:pPr>
    <w:rPr>
      <w:rFonts w:ascii="Arial" w:hAnsi="Arial" w:eastAsia="Arial" w:cs="Arial"/>
      <w:color w:val="000000"/>
      <w:lang w:eastAsia="pt-BR"/>
    </w:rPr>
  </w:style>
  <w:style w:type="paragraph" w:styleId="1123" w:customStyle="1">
    <w:name w:val="Nível 2 Opcional"/>
    <w:basedOn w:val="1094"/>
    <w:link w:val="1125"/>
    <w:pPr>
      <w:numPr>
        <w:ilvl w:val="0"/>
        <w:numId w:val="0"/>
      </w:numPr>
      <w:pBdr/>
      <w:spacing/>
      <w:ind w:hanging="432" w:left="432"/>
    </w:pPr>
    <w:rPr>
      <w:rFonts w:eastAsia="Times New Roman"/>
      <w:i/>
      <w:color w:val="ff0000"/>
    </w:rPr>
  </w:style>
  <w:style w:type="paragraph" w:styleId="1124" w:customStyle="1">
    <w:name w:val="Nível 3 Opcional"/>
    <w:basedOn w:val="1096"/>
    <w:link w:val="1126"/>
    <w:pPr>
      <w:numPr>
        <w:ilvl w:val="0"/>
        <w:numId w:val="0"/>
      </w:numPr>
      <w:pBdr/>
      <w:spacing/>
      <w:ind w:hanging="504" w:left="1072"/>
    </w:pPr>
    <w:rPr>
      <w:rFonts w:eastAsia="Times New Roman"/>
      <w:i/>
      <w:iCs/>
      <w:color w:val="ff0000"/>
    </w:rPr>
  </w:style>
  <w:style w:type="character" w:styleId="1125" w:customStyle="1">
    <w:name w:val="Nível 2 Opcional Char"/>
    <w:basedOn w:val="1041"/>
    <w:link w:val="1123"/>
    <w:pPr>
      <w:pBdr/>
      <w:spacing/>
      <w:ind/>
    </w:pPr>
    <w:rPr>
      <w:rFonts w:ascii="Arial" w:hAnsi="Arial" w:eastAsia="Times New Roman" w:cs="Arial"/>
      <w:i/>
      <w:color w:val="ff0000"/>
      <w:lang w:eastAsia="pt-BR"/>
    </w:rPr>
  </w:style>
  <w:style w:type="character" w:styleId="1126" w:customStyle="1">
    <w:name w:val="Nível 3 Opcional Char"/>
    <w:basedOn w:val="1041"/>
    <w:link w:val="1124"/>
    <w:pPr>
      <w:pBdr/>
      <w:spacing/>
      <w:ind/>
    </w:pPr>
    <w:rPr>
      <w:rFonts w:ascii="Arial" w:hAnsi="Arial" w:eastAsia="Times New Roman" w:cs="Arial"/>
      <w:i/>
      <w:iCs/>
      <w:color w:val="ff0000"/>
      <w:lang w:eastAsia="pt-BR"/>
    </w:rPr>
  </w:style>
  <w:style w:type="character" w:styleId="1127">
    <w:name w:val="Placeholder Text"/>
    <w:basedOn w:val="1041"/>
    <w:uiPriority w:val="67"/>
    <w:semiHidden/>
    <w:pPr>
      <w:pBdr/>
      <w:spacing/>
      <w:ind/>
    </w:pPr>
    <w:rPr>
      <w:color w:val="808080"/>
    </w:rPr>
  </w:style>
  <w:style w:type="character" w:styleId="1128" w:customStyle="1">
    <w:name w:val="Parágrafo da Lista Char"/>
    <w:basedOn w:val="1041"/>
    <w:link w:val="1044"/>
    <w:uiPriority w:val="34"/>
    <w:pPr>
      <w:pBdr/>
      <w:spacing/>
      <w:ind/>
    </w:pPr>
    <w:rPr>
      <w:rFonts w:ascii="Ecofont_Spranq_eco_Sans" w:hAnsi="Ecofont_Spranq_eco_Sans" w:cs="Tahoma"/>
      <w:sz w:val="24"/>
      <w:szCs w:val="24"/>
      <w:lang w:eastAsia="pt-BR"/>
    </w:rPr>
  </w:style>
  <w:style w:type="character" w:styleId="1129" w:customStyle="1">
    <w:name w:val="Título 3 Char"/>
    <w:basedOn w:val="1041"/>
    <w:link w:val="1038"/>
    <w:uiPriority w:val="9"/>
    <w:pPr>
      <w:pBdr/>
      <w:spacing/>
      <w:ind/>
    </w:pPr>
    <w:rPr>
      <w:rFonts w:asciiTheme="majorHAnsi" w:hAnsiTheme="majorHAnsi" w:eastAsiaTheme="majorEastAsia" w:cstheme="majorBidi"/>
      <w:color w:val="243f60" w:themeColor="accent1" w:themeShade="7F"/>
      <w:sz w:val="24"/>
      <w:szCs w:val="24"/>
    </w:rPr>
  </w:style>
  <w:style w:type="character" w:styleId="1130" w:customStyle="1">
    <w:name w:val="Título 6 Char"/>
    <w:basedOn w:val="1041"/>
    <w:link w:val="1040"/>
    <w:uiPriority w:val="9"/>
    <w:semiHidden/>
    <w:pPr>
      <w:pBdr/>
      <w:spacing/>
      <w:ind/>
    </w:pPr>
    <w:rPr>
      <w:rFonts w:asciiTheme="majorHAnsi" w:hAnsiTheme="majorHAnsi" w:eastAsiaTheme="majorEastAsia" w:cstheme="majorBidi"/>
      <w:color w:val="243f60" w:themeColor="accent1" w:themeShade="7F"/>
      <w:sz w:val="22"/>
      <w:szCs w:val="22"/>
    </w:rPr>
  </w:style>
  <w:style w:type="paragraph" w:styleId="1131" w:customStyle="1">
    <w:name w:val="Sombreamento Médio 1 - Ênfase 31"/>
    <w:basedOn w:val="1035"/>
    <w:next w:val="1035"/>
    <w:pPr>
      <w:pBdr>
        <w:top w:val="single" w:color="000080" w:sz="4" w:space="1"/>
        <w:left w:val="single" w:color="000080" w:sz="4" w:space="4"/>
        <w:bottom w:val="single" w:color="000080" w:sz="4" w:space="1"/>
        <w:right w:val="single" w:color="000080" w:sz="4" w:space="4"/>
      </w:pBdr>
      <w:shd w:val="clear" w:color="auto" w:fill="ffffcc"/>
      <w:spacing w:before="120"/>
      <w:ind/>
      <w:jc w:val="both"/>
    </w:pPr>
    <w:rPr>
      <w:rFonts w:eastAsia="Calibri"/>
      <w:i/>
      <w:iCs/>
      <w:color w:val="000000"/>
      <w:sz w:val="20"/>
      <w:lang w:eastAsia="zh-CN"/>
    </w:rPr>
  </w:style>
  <w:style w:type="paragraph" w:styleId="1132" w:customStyle="1">
    <w:name w:val="corpo"/>
    <w:basedOn w:val="1035"/>
    <w:pPr>
      <w:pBdr/>
      <w:spacing w:after="100" w:afterAutospacing="1" w:before="100" w:beforeAutospacing="1"/>
      <w:ind/>
    </w:pPr>
    <w:rPr>
      <w:rFonts w:ascii="Times New Roman" w:hAnsi="Times New Roman" w:eastAsia="Times New Roman" w:cs="Times New Roman"/>
    </w:rPr>
  </w:style>
  <w:style w:type="paragraph" w:styleId="1133" w:customStyle="1">
    <w:name w:val="item_nivel2"/>
    <w:basedOn w:val="1035"/>
    <w:pPr>
      <w:pBdr/>
      <w:spacing w:after="100" w:afterAutospacing="1" w:before="100" w:beforeAutospacing="1"/>
      <w:ind/>
    </w:pPr>
    <w:rPr>
      <w:rFonts w:ascii="Times New Roman" w:hAnsi="Times New Roman" w:eastAsia="Times New Roman" w:cs="Times New Roman"/>
    </w:rPr>
  </w:style>
  <w:style w:type="paragraph" w:styleId="1134" w:customStyle="1">
    <w:name w:val="item_nivel1"/>
    <w:basedOn w:val="1035"/>
    <w:pPr>
      <w:pBdr/>
      <w:spacing w:after="100" w:afterAutospacing="1" w:before="100" w:beforeAutospacing="1"/>
      <w:ind/>
    </w:pPr>
    <w:rPr>
      <w:rFonts w:ascii="Times New Roman" w:hAnsi="Times New Roman" w:eastAsia="Times New Roman" w:cs="Times New Roman"/>
    </w:rPr>
  </w:style>
  <w:style w:type="paragraph" w:styleId="1135" w:customStyle="1">
    <w:name w:val="item_alinea_letra"/>
    <w:basedOn w:val="1035"/>
    <w:pPr>
      <w:pBdr/>
      <w:spacing w:after="100" w:afterAutospacing="1" w:before="100" w:beforeAutospacing="1"/>
      <w:ind/>
    </w:pPr>
    <w:rPr>
      <w:rFonts w:ascii="Times New Roman" w:hAnsi="Times New Roman" w:eastAsia="Times New Roman" w:cs="Times New Roman"/>
    </w:rPr>
  </w:style>
  <w:style w:type="character" w:styleId="1136" w:customStyle="1">
    <w:name w:val="markedcontent"/>
    <w:basedOn w:val="1041"/>
    <w:pPr>
      <w:pBdr/>
      <w:spacing/>
      <w:ind/>
    </w:pPr>
  </w:style>
  <w:style w:type="paragraph" w:styleId="1137" w:customStyle="1">
    <w:name w:val="Standard"/>
    <w:qFormat/>
    <w:pPr>
      <w:pBdr/>
      <w:spacing/>
      <w:ind/>
    </w:pPr>
    <w:rPr>
      <w:rFonts w:ascii="Liberation Serif" w:hAnsi="Liberation Serif" w:eastAsia="NSimSun" w:cs="Lucida Sans"/>
      <w:sz w:val="24"/>
      <w:szCs w:val="24"/>
      <w:lang w:eastAsia="zh-CN" w:bidi="hi-IN"/>
    </w:rPr>
  </w:style>
  <w:style w:type="paragraph" w:styleId="1138" w:customStyle="1">
    <w:name w:val="Text body"/>
    <w:basedOn w:val="1137"/>
    <w:pPr>
      <w:pBdr/>
      <w:spacing w:after="140" w:line="276" w:lineRule="auto"/>
      <w:ind/>
    </w:pPr>
  </w:style>
  <w:style w:type="character" w:styleId="1139" w:customStyle="1">
    <w:name w:val="Menção Pendente3"/>
    <w:basedOn w:val="1041"/>
    <w:uiPriority w:val="99"/>
    <w:semiHidden/>
    <w:unhideWhenUsed/>
    <w:pPr>
      <w:pBdr/>
      <w:spacing/>
      <w:ind/>
    </w:pPr>
    <w:rPr>
      <w:color w:val="605e5c"/>
      <w:shd w:val="clear" w:color="auto" w:fill="e1dfdd"/>
    </w:rPr>
  </w:style>
  <w:style w:type="character" w:styleId="1140" w:customStyle="1">
    <w:name w:val="Menção Pendente4"/>
    <w:basedOn w:val="1041"/>
    <w:uiPriority w:val="99"/>
    <w:semiHidden/>
    <w:unhideWhenUsed/>
    <w:pPr>
      <w:pBdr/>
      <w:spacing/>
      <w:ind/>
    </w:pPr>
    <w:rPr>
      <w:color w:val="605e5c"/>
      <w:shd w:val="clear" w:color="auto" w:fill="e1dfdd"/>
    </w:rPr>
  </w:style>
  <w:style w:type="paragraph" w:styleId="1141" w:customStyle="1">
    <w:name w:val="ou"/>
    <w:basedOn w:val="1044"/>
    <w:link w:val="1142"/>
    <w:qFormat/>
    <w:pPr>
      <w:pBdr/>
      <w:spacing w:after="60" w:before="60" w:line="259" w:lineRule="auto"/>
      <w:ind w:left="0"/>
      <w:contextualSpacing w:val="false"/>
      <w:jc w:val="center"/>
    </w:pPr>
    <w:rPr>
      <w:rFonts w:ascii="Arial" w:hAnsi="Arial" w:cs="Arial" w:eastAsiaTheme="minorHAnsi"/>
      <w:b/>
      <w:bCs/>
      <w:i/>
      <w:iCs/>
      <w:color w:val="ff0000"/>
      <w:sz w:val="20"/>
      <w:u w:val="single"/>
    </w:rPr>
  </w:style>
  <w:style w:type="character" w:styleId="1142" w:customStyle="1">
    <w:name w:val="ou Char"/>
    <w:basedOn w:val="1128"/>
    <w:link w:val="1141"/>
    <w:pPr>
      <w:pBdr/>
      <w:spacing/>
      <w:ind/>
    </w:pPr>
    <w:rPr>
      <w:rFonts w:ascii="Arial" w:hAnsi="Arial" w:cs="Arial" w:eastAsiaTheme="minorHAnsi"/>
      <w:b/>
      <w:bCs/>
      <w:i/>
      <w:iCs/>
      <w:color w:val="ff0000"/>
      <w:sz w:val="24"/>
      <w:szCs w:val="24"/>
      <w:u w:val="single"/>
      <w:lang w:eastAsia="pt-BR"/>
    </w:rPr>
  </w:style>
  <w:style w:type="paragraph" w:styleId="1143" w:customStyle="1">
    <w:name w:val="dou-paragraph"/>
    <w:basedOn w:val="1035"/>
    <w:pPr>
      <w:pBdr/>
      <w:spacing w:after="100" w:afterAutospacing="1" w:before="100" w:beforeAutospacing="1"/>
      <w:ind/>
    </w:pPr>
    <w:rPr>
      <w:rFonts w:ascii="Times New Roman" w:hAnsi="Times New Roman" w:eastAsia="Times New Roman" w:cs="Times New Roman"/>
    </w:rPr>
  </w:style>
  <w:style w:type="paragraph" w:styleId="1144" w:customStyle="1">
    <w:name w:val="Nível 2 -Red"/>
    <w:basedOn w:val="1094"/>
    <w:link w:val="1146"/>
    <w:qFormat/>
    <w:pPr>
      <w:pBdr/>
      <w:spacing/>
      <w:ind/>
    </w:pPr>
    <w:rPr>
      <w:i/>
      <w:iCs/>
      <w:color w:val="ff0000"/>
    </w:rPr>
  </w:style>
  <w:style w:type="paragraph" w:styleId="1145" w:customStyle="1">
    <w:name w:val="Nível 3-R"/>
    <w:basedOn w:val="1096"/>
    <w:link w:val="1149"/>
    <w:qFormat/>
    <w:pPr>
      <w:pBdr/>
      <w:spacing/>
      <w:ind/>
    </w:pPr>
    <w:rPr>
      <w:rFonts w:ascii="Times New Roman" w:hAnsi="Times New Roman" w:cs="Times New Roman"/>
      <w:color w:val="000000" w:themeColor="text1"/>
      <w:sz w:val="24"/>
      <w:szCs w:val="24"/>
      <w:lang w:eastAsia="en-US"/>
    </w:rPr>
  </w:style>
  <w:style w:type="character" w:styleId="1146" w:customStyle="1">
    <w:name w:val="Nível 2 -Red Char"/>
    <w:basedOn w:val="1122"/>
    <w:link w:val="1144"/>
    <w:pPr>
      <w:pBdr/>
      <w:spacing/>
      <w:ind/>
    </w:pPr>
    <w:rPr>
      <w:rFonts w:ascii="Arial" w:hAnsi="Arial" w:eastAsia="Arial" w:cs="Arial"/>
      <w:i/>
      <w:iCs/>
      <w:color w:val="ff0000"/>
      <w:lang w:eastAsia="pt-BR"/>
    </w:rPr>
  </w:style>
  <w:style w:type="paragraph" w:styleId="1147" w:customStyle="1">
    <w:name w:val="Nível 4-R"/>
    <w:basedOn w:val="1097"/>
    <w:link w:val="1151"/>
    <w:qFormat/>
    <w:pPr>
      <w:pBdr/>
      <w:spacing/>
      <w:ind/>
    </w:pPr>
    <w:rPr>
      <w:i/>
      <w:iCs/>
      <w:color w:val="ff0000"/>
    </w:rPr>
  </w:style>
  <w:style w:type="character" w:styleId="1148" w:customStyle="1">
    <w:name w:val="Nivel 3 Char"/>
    <w:basedOn w:val="1041"/>
    <w:link w:val="1096"/>
    <w:pPr>
      <w:pBdr/>
      <w:spacing/>
      <w:ind/>
    </w:pPr>
    <w:rPr>
      <w:rFonts w:ascii="Arial" w:hAnsi="Arial" w:cs="Arial"/>
      <w:color w:val="000000"/>
      <w:lang w:eastAsia="pt-BR"/>
    </w:rPr>
  </w:style>
  <w:style w:type="character" w:styleId="1149" w:customStyle="1">
    <w:name w:val="Nível 3-R Char"/>
    <w:basedOn w:val="1148"/>
    <w:link w:val="1145"/>
    <w:pPr>
      <w:pBdr/>
      <w:spacing/>
      <w:ind/>
    </w:pPr>
    <w:rPr>
      <w:rFonts w:ascii="Arial" w:hAnsi="Arial" w:cs="Arial"/>
      <w:color w:val="000000" w:themeColor="text1"/>
      <w:sz w:val="24"/>
      <w:szCs w:val="24"/>
      <w:lang w:eastAsia="pt-BR"/>
    </w:rPr>
  </w:style>
  <w:style w:type="paragraph" w:styleId="1150" w:customStyle="1">
    <w:name w:val="Nível 1-Sem Num"/>
    <w:basedOn w:val="1074"/>
    <w:link w:val="1153"/>
    <w:qFormat/>
    <w:pPr>
      <w:numPr>
        <w:ilvl w:val="0"/>
        <w:numId w:val="0"/>
      </w:numPr>
      <w:pBdr/>
      <w:spacing/>
      <w:ind/>
      <w:outlineLvl w:val="1"/>
    </w:pPr>
    <w:rPr>
      <w:color w:val="ff0000"/>
    </w:rPr>
  </w:style>
  <w:style w:type="character" w:styleId="1151" w:customStyle="1">
    <w:name w:val="Nível 4-R Char"/>
    <w:basedOn w:val="1099"/>
    <w:link w:val="1147"/>
    <w:pPr>
      <w:pBdr/>
      <w:spacing/>
      <w:ind/>
    </w:pPr>
    <w:rPr>
      <w:rFonts w:ascii="Arial" w:hAnsi="Arial" w:cs="Arial"/>
      <w:i/>
      <w:iCs/>
      <w:color w:val="ff0000"/>
      <w:lang w:eastAsia="pt-BR"/>
    </w:rPr>
  </w:style>
  <w:style w:type="character" w:styleId="1152" w:customStyle="1">
    <w:name w:val="Link da Internet"/>
    <w:basedOn w:val="1041"/>
    <w:uiPriority w:val="99"/>
    <w:unhideWhenUsed/>
    <w:pPr>
      <w:pBdr/>
      <w:spacing/>
      <w:ind/>
    </w:pPr>
    <w:rPr>
      <w:color w:val="0000ff" w:themeColor="hyperlink"/>
      <w:u w:val="single"/>
    </w:rPr>
  </w:style>
  <w:style w:type="character" w:styleId="1153" w:customStyle="1">
    <w:name w:val="Nível 1-Sem Num Char"/>
    <w:basedOn w:val="1078"/>
    <w:link w:val="1150"/>
    <w:pPr>
      <w:pBdr/>
      <w:spacing/>
      <w:ind/>
    </w:pPr>
    <w:rPr>
      <w:rFonts w:ascii="Arial" w:hAnsi="Arial" w:cs="Arial" w:eastAsiaTheme="majorEastAsia"/>
      <w:b/>
      <w:bCs/>
      <w:color w:val="ff0000"/>
      <w:spacing w:val="5"/>
      <w:sz w:val="52"/>
      <w:szCs w:val="52"/>
      <w:lang w:eastAsia="pt-BR"/>
    </w:rPr>
  </w:style>
  <w:style w:type="paragraph" w:styleId="1154" w:customStyle="1">
    <w:name w:val="citação 2"/>
    <w:basedOn w:val="1053"/>
    <w:pPr>
      <w:pBdr/>
      <w:spacing/>
      <w:ind/>
    </w:pPr>
    <w:rPr>
      <w:szCs w:val="20"/>
    </w:rPr>
  </w:style>
  <w:style w:type="paragraph" w:styleId="1155" w:customStyle="1">
    <w:name w:val="Preâmbulo"/>
    <w:basedOn w:val="1035"/>
    <w:link w:val="1156"/>
    <w:pPr>
      <w:pBdr/>
      <w:spacing w:after="120" w:before="480" w:line="360" w:lineRule="auto"/>
      <w:ind w:right="-17" w:left="4253"/>
      <w:jc w:val="both"/>
    </w:pPr>
    <w:rPr>
      <w:rFonts w:ascii="Arial" w:hAnsi="Arial" w:eastAsia="Arial" w:cs="Arial"/>
      <w:bCs/>
      <w:sz w:val="20"/>
      <w:szCs w:val="20"/>
    </w:rPr>
  </w:style>
  <w:style w:type="character" w:styleId="1156" w:customStyle="1">
    <w:name w:val="Preâmbulo Char"/>
    <w:basedOn w:val="1041"/>
    <w:link w:val="1155"/>
    <w:pPr>
      <w:pBdr/>
      <w:spacing/>
      <w:ind/>
    </w:pPr>
    <w:rPr>
      <w:rFonts w:ascii="Arial" w:hAnsi="Arial" w:eastAsia="Arial" w:cs="Arial"/>
      <w:bCs/>
      <w:lang w:eastAsia="pt-BR"/>
    </w:rPr>
  </w:style>
  <w:style w:type="character" w:styleId="1157" w:customStyle="1">
    <w:name w:val="Mention non résolue1"/>
    <w:basedOn w:val="1041"/>
    <w:uiPriority w:val="99"/>
    <w:semiHidden/>
    <w:unhideWhenUsed/>
    <w:pPr>
      <w:pBdr/>
      <w:spacing/>
      <w:ind/>
    </w:pPr>
    <w:rPr>
      <w:color w:val="605e5c"/>
      <w:shd w:val="clear" w:color="auto" w:fill="e1dfdd"/>
    </w:rPr>
  </w:style>
  <w:style w:type="character" w:styleId="1158" w:customStyle="1">
    <w:name w:val="findhit"/>
    <w:basedOn w:val="1041"/>
    <w:pPr>
      <w:pBdr/>
      <w:spacing/>
      <w:ind/>
    </w:pPr>
  </w:style>
  <w:style w:type="paragraph" w:styleId="1159" w:customStyle="1">
    <w:name w:val="Nivel 3-erro"/>
    <w:basedOn w:val="1096"/>
    <w:link w:val="1160"/>
    <w:pPr>
      <w:numPr>
        <w:ilvl w:val="0"/>
        <w:numId w:val="30"/>
      </w:numPr>
      <w:pBdr/>
      <w:spacing w:line="240" w:lineRule="auto"/>
      <w:ind w:firstLine="0" w:left="425"/>
    </w:pPr>
    <w:rPr>
      <w:rFonts w:cs="Tahoma"/>
      <w:color w:val="auto"/>
      <w:szCs w:val="24"/>
    </w:rPr>
  </w:style>
  <w:style w:type="character" w:styleId="1160" w:customStyle="1">
    <w:name w:val="Nivel 3-erro Char"/>
    <w:basedOn w:val="1041"/>
    <w:link w:val="1159"/>
    <w:pPr>
      <w:pBdr/>
      <w:spacing/>
      <w:ind/>
    </w:pPr>
    <w:rPr>
      <w:rFonts w:ascii="Arial" w:hAnsi="Arial" w:cs="Tahoma"/>
      <w:szCs w:val="24"/>
      <w:lang w:eastAsia="pt-BR"/>
    </w:rPr>
  </w:style>
  <w:style w:type="paragraph" w:styleId="1161" w:customStyle="1">
    <w:name w:val="Alterações"/>
    <w:basedOn w:val="1035"/>
    <w:link w:val="1162"/>
    <w:uiPriority w:val="1"/>
    <w:pPr>
      <w:pBdr/>
      <w:spacing w:after="120" w:before="120" w:line="276" w:lineRule="auto"/>
      <w:ind/>
      <w:jc w:val="both"/>
      <w:outlineLvl w:val="1"/>
    </w:pPr>
    <w:rPr>
      <w:rFonts w:ascii="Arial" w:hAnsi="Arial" w:cs="Arial"/>
      <w:i/>
      <w:iCs/>
      <w:color w:val="0000ff"/>
      <w:sz w:val="20"/>
      <w:szCs w:val="20"/>
    </w:rPr>
  </w:style>
  <w:style w:type="character" w:styleId="1162" w:customStyle="1">
    <w:name w:val="Alterações Char"/>
    <w:basedOn w:val="1041"/>
    <w:link w:val="1161"/>
    <w:uiPriority w:val="1"/>
    <w:pPr>
      <w:pBdr/>
      <w:spacing/>
      <w:ind/>
    </w:pPr>
    <w:rPr>
      <w:rFonts w:ascii="Arial" w:hAnsi="Arial" w:cs="Arial"/>
      <w:i/>
      <w:iCs/>
      <w:color w:val="0000ff"/>
      <w:lang w:eastAsia="pt-BR"/>
    </w:rPr>
  </w:style>
  <w:style w:type="character" w:styleId="1163" w:customStyle="1">
    <w:name w:val="Menção1"/>
    <w:basedOn w:val="1041"/>
    <w:uiPriority w:val="99"/>
    <w:unhideWhenUsed/>
    <w:pPr>
      <w:pBdr/>
      <w:spacing/>
      <w:ind/>
    </w:pPr>
    <w:rPr>
      <w:color w:val="2b579a"/>
      <w:shd w:val="clear" w:color="auto" w:fill="e6e6e6"/>
    </w:rPr>
  </w:style>
  <w:style w:type="character" w:styleId="1164" w:customStyle="1">
    <w:name w:val="Menção Pendente5"/>
    <w:basedOn w:val="1041"/>
    <w:uiPriority w:val="99"/>
    <w:semiHidden/>
    <w:unhideWhenUsed/>
    <w:pPr>
      <w:pBdr/>
      <w:spacing/>
      <w:ind/>
    </w:pPr>
    <w:rPr>
      <w:color w:val="605e5c"/>
      <w:shd w:val="clear" w:color="auto" w:fill="e1dfdd"/>
    </w:rPr>
  </w:style>
  <w:style w:type="paragraph" w:styleId="1165" w:customStyle="1">
    <w:name w:val="Nível 1-Sem Num Preto"/>
    <w:basedOn w:val="1150"/>
    <w:link w:val="1166"/>
    <w:qFormat/>
    <w:pPr>
      <w:pBdr/>
      <w:spacing/>
      <w:ind/>
    </w:pPr>
    <w:rPr>
      <w:color w:val="auto"/>
      <w:lang w:eastAsia="zh-CN" w:bidi="hi-IN"/>
    </w:rPr>
  </w:style>
  <w:style w:type="character" w:styleId="1166" w:customStyle="1">
    <w:name w:val="Nível 1-Sem Num Preto Char"/>
    <w:basedOn w:val="1153"/>
    <w:link w:val="1165"/>
    <w:pPr>
      <w:pBdr/>
      <w:spacing/>
      <w:ind/>
    </w:pPr>
    <w:rPr>
      <w:rFonts w:ascii="Arial" w:hAnsi="Arial" w:cs="Arial" w:eastAsiaTheme="majorEastAsia"/>
      <w:b/>
      <w:bCs/>
      <w:color w:val="ff0000"/>
      <w:spacing w:val="5"/>
      <w:sz w:val="52"/>
      <w:szCs w:val="52"/>
      <w:lang w:eastAsia="zh-CN" w:bidi="hi-IN"/>
    </w:rPr>
  </w:style>
  <w:style w:type="paragraph" w:styleId="1167" w:customStyle="1">
    <w:name w:val="WW-Título"/>
    <w:basedOn w:val="1035"/>
    <w:next w:val="1168"/>
    <w:pPr>
      <w:keepNext w:val="true"/>
      <w:pBdr/>
      <w:spacing w:after="120" w:before="240"/>
      <w:ind/>
    </w:pPr>
    <w:rPr>
      <w:rFonts w:ascii="Arial" w:hAnsi="Arial" w:eastAsia="Lucida Sans Unicode" w:cs="Times New Roman"/>
      <w:sz w:val="28"/>
      <w:szCs w:val="28"/>
      <w:lang w:eastAsia="zh-CN"/>
    </w:rPr>
  </w:style>
  <w:style w:type="paragraph" w:styleId="1168">
    <w:name w:val="Subtitle"/>
    <w:basedOn w:val="1035"/>
    <w:next w:val="1035"/>
    <w:link w:val="1169"/>
    <w:pPr>
      <w:numPr>
        <w:ilvl w:val="1"/>
      </w:numPr>
      <w:pBdr/>
      <w:spacing w:after="160"/>
      <w:ind/>
    </w:pPr>
    <w:rPr>
      <w:rFonts w:asciiTheme="minorHAnsi" w:hAnsiTheme="minorHAnsi" w:cstheme="minorBidi"/>
      <w:color w:val="5a5a5a" w:themeColor="text1" w:themeTint="A5"/>
      <w:spacing w:val="15"/>
      <w:sz w:val="22"/>
      <w:szCs w:val="22"/>
    </w:rPr>
  </w:style>
  <w:style w:type="character" w:styleId="1169" w:customStyle="1">
    <w:name w:val="Subtítulo Char"/>
    <w:basedOn w:val="1041"/>
    <w:link w:val="1168"/>
    <w:pPr>
      <w:pBdr/>
      <w:spacing/>
      <w:ind/>
    </w:pPr>
    <w:rPr>
      <w:rFonts w:asciiTheme="minorHAnsi" w:hAnsiTheme="minorHAnsi" w:cstheme="minorBidi"/>
      <w:color w:val="5a5a5a" w:themeColor="text1" w:themeTint="A5"/>
      <w:spacing w:val="15"/>
      <w:sz w:val="22"/>
      <w:szCs w:val="22"/>
      <w:lang w:eastAsia="pt-BR"/>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image" Target="media/image1.png"/><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1"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yperlink" Target="https://in.gov.br/en/web/dou/-/instrucao-normativa-seges/me-n-77-de-4-de-novembro-de-2022-441681061" TargetMode="External"/><Relationship Id="rId31"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53-de-8-de-julho-de-2020" TargetMode="External"/><Relationship Id="rId33" Type="http://schemas.openxmlformats.org/officeDocument/2006/relationships/hyperlink" Target="https://www.planalto.gov.br/ccivil_03/leis/l8429.htm" TargetMode="External"/><Relationship Id="rId34" Type="http://schemas.openxmlformats.org/officeDocument/2006/relationships/hyperlink" Target="http://www.planalto.gov.br/ccivil_03/AGU/Pareceres/2019-2022/PRC-JL-01-2020.htm" TargetMode="External"/><Relationship Id="rId35" Type="http://schemas.openxmlformats.org/officeDocument/2006/relationships/hyperlink" Target="http://www.portaldatransparencia.gov.br/ceis" TargetMode="External"/><Relationship Id="rId36" Type="http://schemas.openxmlformats.org/officeDocument/2006/relationships/hyperlink" Target="https://www.portaltransparencia.gov.br/sancoes/cnep" TargetMode="External"/><Relationship Id="rId37" Type="http://schemas.openxmlformats.org/officeDocument/2006/relationships/hyperlink" Target="https://www.gov.br/empresas-e-negocios/pt-br/empreendedor" TargetMode="External"/><Relationship Id="rId38" Type="http://schemas.openxmlformats.org/officeDocument/2006/relationships/hyperlink" Target="https://www.gov.br/economia/pt-br/assuntos/drei/legislacao/arquivos/legislacoes-federais/indrei772020.pdf" TargetMode="External"/><Relationship Id="rId39" Type="http://schemas.openxmlformats.org/officeDocument/2006/relationships/hyperlink" Target="https://www.planalto.gov.br/ccivil_03/leis/l5764.htm" TargetMode="External"/><Relationship Id="rId40" Type="http://schemas.openxmlformats.org/officeDocument/2006/relationships/hyperlink" Target="https://www.planalto.gov.br/ccivil_03/_ato2019-2022/2021/decreto/d10880.htm" TargetMode="External"/><Relationship Id="rId41" Type="http://schemas.openxmlformats.org/officeDocument/2006/relationships/hyperlink" Target="https://www.gov.br/trabalho-e-previdencia/pt-br/servicos/empregador/programa-de-alimentacao-do-trabalhador-pat/arquivos-legislacao/instrucoes-normativas/pat_in_971_2009.pdf" TargetMode="External"/><Relationship Id="rId42" Type="http://schemas.openxmlformats.org/officeDocument/2006/relationships/hyperlink" Target="https://www.gov.br/compras/pt-br/acesso-a-informacao/legislacao/instrucoes-normativas/instrucao-normativa-seges-me-no-116-de-21-de-dezembro-de-2021" TargetMode="External"/><Relationship Id="rId43" Type="http://schemas.openxmlformats.org/officeDocument/2006/relationships/hyperlink" Target="http://www.planalto.gov.br/ccivil_03/_ato2019-2022/2021/lei/L14133.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770E97-A9EC-45EB-8CB9-45E57FCA1012}">
  <ds:schemaRefs>
    <ds:schemaRef ds:uri="http://schemas.openxmlformats.org/officeDocument/2006/bibliography"/>
  </ds:schemaRefs>
</ds:datastoreItem>
</file>

<file path=customXml/itemProps2.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4.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Application>ONLYOFFICE/8.0.0.99</Application>
  <Company/>
  <DocSecurity>0</DocSecurity>
  <HyperlinkBase/>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5</cp:revision>
  <dcterms:created xsi:type="dcterms:W3CDTF">2023-12-21T22:48:00Z</dcterms:created>
  <dcterms:modified xsi:type="dcterms:W3CDTF">2024-06-06T14:14:09Z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